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BA277" w14:textId="61CA1431" w:rsidR="0028613E" w:rsidRPr="003E2E53" w:rsidRDefault="0028613E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  <w:r w:rsidRPr="003E2E53">
        <w:rPr>
          <w:rFonts w:ascii="Arial" w:hAnsi="Arial" w:cs="Arial"/>
          <w:b/>
          <w:szCs w:val="20"/>
        </w:rPr>
        <w:t xml:space="preserve">UCHWAŁA NR </w:t>
      </w:r>
      <w:r w:rsidR="00506C5F">
        <w:rPr>
          <w:rFonts w:ascii="Arial" w:hAnsi="Arial" w:cs="Arial"/>
          <w:b/>
          <w:szCs w:val="20"/>
        </w:rPr>
        <w:t>233/XXX/2021</w:t>
      </w:r>
    </w:p>
    <w:p w14:paraId="1694A94B" w14:textId="77777777" w:rsidR="0028613E" w:rsidRPr="003E2E53" w:rsidRDefault="0028613E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  <w:r w:rsidRPr="003E2E53">
        <w:rPr>
          <w:rFonts w:ascii="Arial" w:hAnsi="Arial" w:cs="Arial"/>
          <w:b/>
          <w:szCs w:val="20"/>
        </w:rPr>
        <w:t>Rady Gminy w Dzierzążni</w:t>
      </w:r>
    </w:p>
    <w:p w14:paraId="602F51AD" w14:textId="0F5441F6" w:rsidR="0028613E" w:rsidRPr="003E2E53" w:rsidRDefault="0028613E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  <w:r w:rsidRPr="003E2E53">
        <w:rPr>
          <w:rFonts w:ascii="Arial" w:hAnsi="Arial" w:cs="Arial"/>
          <w:b/>
          <w:szCs w:val="20"/>
        </w:rPr>
        <w:t xml:space="preserve">z dnia </w:t>
      </w:r>
      <w:r w:rsidR="00506C5F">
        <w:rPr>
          <w:rFonts w:ascii="Arial" w:hAnsi="Arial" w:cs="Arial"/>
          <w:b/>
          <w:szCs w:val="20"/>
        </w:rPr>
        <w:t>29 grudnia 2021</w:t>
      </w:r>
    </w:p>
    <w:p w14:paraId="125D32DE" w14:textId="77777777" w:rsidR="003E2E53" w:rsidRPr="003E2E53" w:rsidRDefault="003E2E53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</w:p>
    <w:p w14:paraId="1C751A09" w14:textId="77777777" w:rsidR="003E2E53" w:rsidRPr="003E2E53" w:rsidRDefault="003E2E53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  <w:r w:rsidRPr="003E2E53">
        <w:rPr>
          <w:rFonts w:ascii="Arial" w:hAnsi="Arial" w:cs="Arial"/>
          <w:b/>
          <w:szCs w:val="20"/>
        </w:rPr>
        <w:t>w sprawie uchwalenie Wieloletniego Programu Gospodarowania Mieszkaniowym Zasobe</w:t>
      </w:r>
      <w:r w:rsidR="001F3947">
        <w:rPr>
          <w:rFonts w:ascii="Arial" w:hAnsi="Arial" w:cs="Arial"/>
          <w:b/>
          <w:szCs w:val="20"/>
        </w:rPr>
        <w:t>m Gminy Dzierzążnia na lata 2022-2026</w:t>
      </w:r>
    </w:p>
    <w:p w14:paraId="53748543" w14:textId="77777777" w:rsidR="003E2E53" w:rsidRPr="003E2E53" w:rsidRDefault="003E2E53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</w:p>
    <w:p w14:paraId="38294BCF" w14:textId="77777777" w:rsidR="003E2E53" w:rsidRPr="003E2E53" w:rsidRDefault="003E2E53" w:rsidP="0028613E">
      <w:pPr>
        <w:spacing w:after="0" w:line="276" w:lineRule="auto"/>
        <w:jc w:val="center"/>
        <w:rPr>
          <w:rFonts w:ascii="Arial" w:hAnsi="Arial" w:cs="Arial"/>
          <w:b/>
          <w:szCs w:val="20"/>
        </w:rPr>
      </w:pPr>
    </w:p>
    <w:p w14:paraId="234E1054" w14:textId="77777777" w:rsidR="003E2E53" w:rsidRPr="003E2E53" w:rsidRDefault="003E2E53" w:rsidP="003E2E53">
      <w:pPr>
        <w:spacing w:after="0" w:line="276" w:lineRule="auto"/>
        <w:rPr>
          <w:rFonts w:ascii="Arial" w:hAnsi="Arial" w:cs="Arial"/>
          <w:b/>
          <w:szCs w:val="20"/>
        </w:rPr>
      </w:pPr>
    </w:p>
    <w:p w14:paraId="04D52EFA" w14:textId="6F043763" w:rsidR="003E2E53" w:rsidRPr="003E2E53" w:rsidRDefault="003E2E53" w:rsidP="003E2E53">
      <w:pPr>
        <w:spacing w:after="0" w:line="276" w:lineRule="auto"/>
        <w:ind w:firstLine="708"/>
        <w:jc w:val="both"/>
        <w:rPr>
          <w:rFonts w:ascii="Arial" w:hAnsi="Arial" w:cs="Arial"/>
          <w:szCs w:val="20"/>
        </w:rPr>
      </w:pPr>
      <w:r w:rsidRPr="003E2E53">
        <w:rPr>
          <w:rFonts w:ascii="Arial" w:hAnsi="Arial" w:cs="Arial"/>
          <w:szCs w:val="20"/>
        </w:rPr>
        <w:t xml:space="preserve">Na podstawie art. 18 ust. 2 pkt 15 i art. 40 ust. 1 ustawy z dnia 8 marca 1990 roku </w:t>
      </w:r>
      <w:r w:rsidRPr="003E2E53">
        <w:rPr>
          <w:rFonts w:ascii="Arial" w:hAnsi="Arial" w:cs="Arial"/>
          <w:szCs w:val="20"/>
        </w:rPr>
        <w:br/>
        <w:t>o samorządzie gminnym (Dz. U. z 2021 r. poz. 1372</w:t>
      </w:r>
      <w:r w:rsidR="0087423B">
        <w:rPr>
          <w:rFonts w:ascii="Arial" w:hAnsi="Arial" w:cs="Arial"/>
          <w:szCs w:val="20"/>
        </w:rPr>
        <w:t xml:space="preserve"> ze zm.</w:t>
      </w:r>
      <w:r w:rsidRPr="003E2E53">
        <w:rPr>
          <w:rFonts w:ascii="Arial" w:hAnsi="Arial" w:cs="Arial"/>
          <w:szCs w:val="20"/>
        </w:rPr>
        <w:t>) oraz art. 21 ust. 1 pkt 1 i ust. 2 ustawy</w:t>
      </w:r>
      <w:r w:rsidR="0087423B">
        <w:rPr>
          <w:rFonts w:ascii="Arial" w:hAnsi="Arial" w:cs="Arial"/>
          <w:szCs w:val="20"/>
        </w:rPr>
        <w:t xml:space="preserve"> </w:t>
      </w:r>
      <w:r w:rsidRPr="003E2E53">
        <w:rPr>
          <w:rFonts w:ascii="Arial" w:hAnsi="Arial" w:cs="Arial"/>
          <w:szCs w:val="20"/>
        </w:rPr>
        <w:t xml:space="preserve">z dnia 21 czerwca 2001 roku o ochronie praw lokatorów, mieszkaniowym zasobie gminy i o zmianie Kodeksu  Cywilnego </w:t>
      </w:r>
      <w:r w:rsidRPr="00907BE7">
        <w:rPr>
          <w:rFonts w:ascii="Arial" w:hAnsi="Arial" w:cs="Arial"/>
          <w:szCs w:val="20"/>
        </w:rPr>
        <w:t>(Dz. U. z 2020 r. poz. 611</w:t>
      </w:r>
      <w:r w:rsidR="00907BE7" w:rsidRPr="00907BE7">
        <w:rPr>
          <w:rFonts w:ascii="Arial" w:hAnsi="Arial" w:cs="Arial"/>
          <w:szCs w:val="20"/>
        </w:rPr>
        <w:t xml:space="preserve"> ze zm.</w:t>
      </w:r>
      <w:r w:rsidRPr="00907BE7">
        <w:rPr>
          <w:rFonts w:ascii="Arial" w:hAnsi="Arial" w:cs="Arial"/>
          <w:szCs w:val="20"/>
        </w:rPr>
        <w:t xml:space="preserve">) </w:t>
      </w:r>
      <w:r w:rsidRPr="003E2E53">
        <w:rPr>
          <w:rFonts w:ascii="Arial" w:hAnsi="Arial" w:cs="Arial"/>
          <w:szCs w:val="20"/>
        </w:rPr>
        <w:t>Rada Gminy w</w:t>
      </w:r>
      <w:r w:rsidR="0087423B">
        <w:rPr>
          <w:rFonts w:ascii="Arial" w:hAnsi="Arial" w:cs="Arial"/>
          <w:szCs w:val="20"/>
        </w:rPr>
        <w:t> </w:t>
      </w:r>
      <w:r w:rsidRPr="003E2E53">
        <w:rPr>
          <w:rFonts w:ascii="Arial" w:hAnsi="Arial" w:cs="Arial"/>
          <w:szCs w:val="20"/>
        </w:rPr>
        <w:t>Dzierzążni uchwala co następuje:</w:t>
      </w:r>
    </w:p>
    <w:p w14:paraId="0177D2BD" w14:textId="77777777" w:rsidR="003E2E53" w:rsidRPr="003E2E53" w:rsidRDefault="003E2E53" w:rsidP="003E2E53">
      <w:pPr>
        <w:spacing w:after="0" w:line="276" w:lineRule="auto"/>
        <w:ind w:firstLine="708"/>
        <w:jc w:val="both"/>
        <w:rPr>
          <w:rFonts w:ascii="Arial" w:hAnsi="Arial" w:cs="Arial"/>
          <w:szCs w:val="20"/>
        </w:rPr>
      </w:pPr>
    </w:p>
    <w:p w14:paraId="6CDC4CB0" w14:textId="77777777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  <w:r w:rsidRPr="003E2E53">
        <w:rPr>
          <w:rFonts w:ascii="Arial" w:hAnsi="Arial" w:cs="Arial"/>
          <w:b/>
          <w:szCs w:val="20"/>
        </w:rPr>
        <w:t>§ 1.</w:t>
      </w:r>
      <w:r w:rsidRPr="003E2E53">
        <w:rPr>
          <w:rFonts w:ascii="Arial" w:hAnsi="Arial" w:cs="Arial"/>
          <w:szCs w:val="20"/>
        </w:rPr>
        <w:t xml:space="preserve"> Uchwala się Wieloletni Program Gospodarowania Mieszkaniowym Zasobe</w:t>
      </w:r>
      <w:r w:rsidR="001F3947">
        <w:rPr>
          <w:rFonts w:ascii="Arial" w:hAnsi="Arial" w:cs="Arial"/>
          <w:szCs w:val="20"/>
        </w:rPr>
        <w:t>m Gminy Dzierzążnia na lata 2022-2026</w:t>
      </w:r>
      <w:r w:rsidRPr="003E2E53">
        <w:rPr>
          <w:rFonts w:ascii="Arial" w:hAnsi="Arial" w:cs="Arial"/>
          <w:szCs w:val="20"/>
        </w:rPr>
        <w:t xml:space="preserve"> w brzmieniu stanowiącym załącznik do niniejszej uchwały.</w:t>
      </w:r>
    </w:p>
    <w:p w14:paraId="5A76E656" w14:textId="77777777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</w:p>
    <w:p w14:paraId="1E6F53ED" w14:textId="243C83F1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  <w:r w:rsidRPr="003E2E53">
        <w:rPr>
          <w:rFonts w:ascii="Arial" w:hAnsi="Arial" w:cs="Arial"/>
          <w:b/>
          <w:szCs w:val="20"/>
        </w:rPr>
        <w:t>§ 2</w:t>
      </w:r>
      <w:r w:rsidRPr="003E2E53">
        <w:rPr>
          <w:rFonts w:ascii="Arial" w:hAnsi="Arial" w:cs="Arial"/>
          <w:szCs w:val="20"/>
        </w:rPr>
        <w:t xml:space="preserve">. </w:t>
      </w:r>
      <w:r w:rsidR="0087423B" w:rsidRPr="003E2E53">
        <w:rPr>
          <w:rFonts w:ascii="Arial" w:hAnsi="Arial" w:cs="Arial"/>
          <w:szCs w:val="20"/>
        </w:rPr>
        <w:t xml:space="preserve">Traci moc </w:t>
      </w:r>
      <w:r w:rsidR="0087423B" w:rsidRPr="002C2CF1">
        <w:rPr>
          <w:rFonts w:ascii="Arial" w:hAnsi="Arial" w:cs="Arial"/>
        </w:rPr>
        <w:t>uchwała Nr 102/XV/2016 Rady Gminy w Dzierzążni z dnia 31 maja 2016 roku w sprawie uchwalenia programu gospodarowania mieszkaniowym zasobem Gminy w  latach  2016 -  2020</w:t>
      </w:r>
      <w:r w:rsidRPr="003E2E53">
        <w:rPr>
          <w:rFonts w:ascii="Arial" w:hAnsi="Arial" w:cs="Arial"/>
          <w:szCs w:val="20"/>
        </w:rPr>
        <w:t>.</w:t>
      </w:r>
    </w:p>
    <w:p w14:paraId="2FF3670B" w14:textId="77777777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</w:p>
    <w:p w14:paraId="27C4D076" w14:textId="77777777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  <w:r w:rsidRPr="003E2E53">
        <w:rPr>
          <w:rFonts w:ascii="Arial" w:hAnsi="Arial" w:cs="Arial"/>
          <w:b/>
          <w:szCs w:val="20"/>
        </w:rPr>
        <w:t>§ 3.</w:t>
      </w:r>
      <w:r w:rsidRPr="003E2E53">
        <w:rPr>
          <w:rFonts w:ascii="Arial" w:hAnsi="Arial" w:cs="Arial"/>
          <w:szCs w:val="20"/>
        </w:rPr>
        <w:t xml:space="preserve"> Wykonanie uchwały powierza się Wójtowi Gminy</w:t>
      </w:r>
    </w:p>
    <w:p w14:paraId="447E12F0" w14:textId="77777777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</w:p>
    <w:p w14:paraId="33A95363" w14:textId="77777777" w:rsidR="003E2E53" w:rsidRPr="003E2E53" w:rsidRDefault="003E2E53" w:rsidP="003E2E53">
      <w:pPr>
        <w:spacing w:after="0" w:line="276" w:lineRule="auto"/>
        <w:jc w:val="both"/>
        <w:rPr>
          <w:rFonts w:ascii="Arial" w:hAnsi="Arial" w:cs="Arial"/>
          <w:szCs w:val="20"/>
        </w:rPr>
      </w:pPr>
      <w:r w:rsidRPr="003E2E53">
        <w:rPr>
          <w:rFonts w:ascii="Arial" w:hAnsi="Arial" w:cs="Arial"/>
          <w:b/>
          <w:szCs w:val="20"/>
        </w:rPr>
        <w:t>§ 4</w:t>
      </w:r>
      <w:r w:rsidRPr="003E2E53">
        <w:rPr>
          <w:rFonts w:ascii="Arial" w:hAnsi="Arial" w:cs="Arial"/>
          <w:szCs w:val="20"/>
        </w:rPr>
        <w:t>. Uchwała wchodzi w życie po upływie 14 dni od dnia ogłoszenia jej w Dzienniki Urzędowym Województwa Mazowieckiego.</w:t>
      </w:r>
    </w:p>
    <w:p w14:paraId="01F0BA69" w14:textId="77777777" w:rsidR="0028613E" w:rsidRPr="003E2E53" w:rsidRDefault="0028613E" w:rsidP="0028613E">
      <w:pPr>
        <w:spacing w:after="0" w:line="276" w:lineRule="auto"/>
        <w:jc w:val="center"/>
        <w:rPr>
          <w:rFonts w:ascii="Arial" w:hAnsi="Arial" w:cs="Arial"/>
          <w:szCs w:val="20"/>
        </w:rPr>
      </w:pPr>
    </w:p>
    <w:p w14:paraId="0B2BFF87" w14:textId="77777777" w:rsidR="0028613E" w:rsidRPr="003E2E53" w:rsidRDefault="0028613E" w:rsidP="0028613E">
      <w:pPr>
        <w:spacing w:line="276" w:lineRule="auto"/>
        <w:jc w:val="both"/>
        <w:rPr>
          <w:rFonts w:ascii="Arial" w:hAnsi="Arial" w:cs="Arial"/>
          <w:szCs w:val="20"/>
        </w:rPr>
      </w:pPr>
      <w:r w:rsidRPr="003E2E53">
        <w:rPr>
          <w:rFonts w:ascii="Arial" w:hAnsi="Arial" w:cs="Arial"/>
          <w:b/>
          <w:szCs w:val="20"/>
        </w:rPr>
        <w:tab/>
      </w:r>
    </w:p>
    <w:p w14:paraId="56599751" w14:textId="77777777" w:rsidR="003E2E53" w:rsidRPr="003E2E53" w:rsidRDefault="003E2E53" w:rsidP="003E2E53">
      <w:pPr>
        <w:rPr>
          <w:rFonts w:ascii="Arial" w:hAnsi="Arial" w:cs="Arial"/>
          <w:szCs w:val="20"/>
        </w:rPr>
      </w:pPr>
    </w:p>
    <w:p w14:paraId="460EE959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p w14:paraId="451ADCE4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p w14:paraId="3298DD56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p w14:paraId="2D700329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p w14:paraId="3D360A58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p w14:paraId="5D37B2A0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3CCC8A1A" w14:textId="77777777" w:rsidR="0004157D" w:rsidRDefault="000415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DDAE974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p w14:paraId="223AD119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45746A46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1E1DD021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78C64D83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6A989E63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7C012948" w14:textId="77777777" w:rsidR="0004157D" w:rsidRDefault="0004157D" w:rsidP="003E2E53">
      <w:pPr>
        <w:rPr>
          <w:rFonts w:ascii="Arial" w:hAnsi="Arial" w:cs="Arial"/>
          <w:sz w:val="20"/>
          <w:szCs w:val="20"/>
        </w:rPr>
      </w:pPr>
    </w:p>
    <w:p w14:paraId="5399AFE2" w14:textId="77777777" w:rsidR="0004157D" w:rsidRDefault="0004157D" w:rsidP="002D0658">
      <w:pPr>
        <w:spacing w:line="300" w:lineRule="auto"/>
        <w:rPr>
          <w:rFonts w:ascii="Arial" w:hAnsi="Arial" w:cs="Arial"/>
          <w:sz w:val="20"/>
          <w:szCs w:val="20"/>
        </w:rPr>
      </w:pPr>
    </w:p>
    <w:p w14:paraId="77FD8BAC" w14:textId="77777777" w:rsidR="002D0658" w:rsidRDefault="0004157D" w:rsidP="002D0658">
      <w:pPr>
        <w:tabs>
          <w:tab w:val="left" w:pos="5430"/>
        </w:tabs>
        <w:spacing w:after="0" w:line="300" w:lineRule="auto"/>
        <w:jc w:val="center"/>
        <w:rPr>
          <w:rFonts w:ascii="Arial" w:hAnsi="Arial" w:cs="Arial"/>
          <w:b/>
          <w:color w:val="1616CE"/>
          <w:sz w:val="40"/>
          <w:szCs w:val="20"/>
        </w:rPr>
      </w:pPr>
      <w:r w:rsidRPr="002D0658">
        <w:rPr>
          <w:rFonts w:ascii="Arial" w:hAnsi="Arial" w:cs="Arial"/>
          <w:b/>
          <w:color w:val="1616CE"/>
          <w:sz w:val="40"/>
          <w:szCs w:val="20"/>
        </w:rPr>
        <w:t>WIELOLETNI PROGRAM GOSPODAROWANIA MIESZKANIOWYM ZASOBE</w:t>
      </w:r>
      <w:r w:rsidR="001F3947" w:rsidRPr="002D0658">
        <w:rPr>
          <w:rFonts w:ascii="Arial" w:hAnsi="Arial" w:cs="Arial"/>
          <w:b/>
          <w:color w:val="1616CE"/>
          <w:sz w:val="40"/>
          <w:szCs w:val="20"/>
        </w:rPr>
        <w:t xml:space="preserve">M </w:t>
      </w:r>
    </w:p>
    <w:p w14:paraId="508F4DEF" w14:textId="77777777" w:rsidR="002D0658" w:rsidRDefault="001F3947" w:rsidP="002D0658">
      <w:pPr>
        <w:tabs>
          <w:tab w:val="left" w:pos="5430"/>
        </w:tabs>
        <w:spacing w:after="0" w:line="300" w:lineRule="auto"/>
        <w:jc w:val="center"/>
        <w:rPr>
          <w:rFonts w:ascii="Arial" w:hAnsi="Arial" w:cs="Arial"/>
          <w:b/>
          <w:color w:val="1616CE"/>
          <w:sz w:val="40"/>
          <w:szCs w:val="20"/>
        </w:rPr>
      </w:pPr>
      <w:r w:rsidRPr="002D0658">
        <w:rPr>
          <w:rFonts w:ascii="Arial" w:hAnsi="Arial" w:cs="Arial"/>
          <w:b/>
          <w:color w:val="1616CE"/>
          <w:sz w:val="40"/>
          <w:szCs w:val="20"/>
        </w:rPr>
        <w:t xml:space="preserve">GMINY DZIERZĄŻNIA </w:t>
      </w:r>
    </w:p>
    <w:p w14:paraId="49FD4D57" w14:textId="54E42C96" w:rsidR="0004157D" w:rsidRPr="002D0658" w:rsidRDefault="001F3947" w:rsidP="002D0658">
      <w:pPr>
        <w:tabs>
          <w:tab w:val="left" w:pos="5430"/>
        </w:tabs>
        <w:spacing w:after="0" w:line="300" w:lineRule="auto"/>
        <w:jc w:val="center"/>
        <w:rPr>
          <w:rFonts w:ascii="Arial" w:hAnsi="Arial" w:cs="Arial"/>
          <w:b/>
          <w:color w:val="1616CE"/>
          <w:sz w:val="40"/>
          <w:szCs w:val="20"/>
        </w:rPr>
      </w:pPr>
      <w:r w:rsidRPr="002D0658">
        <w:rPr>
          <w:rFonts w:ascii="Arial" w:hAnsi="Arial" w:cs="Arial"/>
          <w:b/>
          <w:color w:val="1616CE"/>
          <w:sz w:val="40"/>
          <w:szCs w:val="20"/>
        </w:rPr>
        <w:t>NA LATA 2022-2026</w:t>
      </w:r>
    </w:p>
    <w:p w14:paraId="4538B0BE" w14:textId="24ADA2B1" w:rsidR="002D0658" w:rsidRDefault="002D0658" w:rsidP="0004157D">
      <w:pPr>
        <w:tabs>
          <w:tab w:val="left" w:pos="5430"/>
        </w:tabs>
        <w:spacing w:after="0"/>
        <w:jc w:val="center"/>
        <w:rPr>
          <w:rFonts w:ascii="Arial" w:hAnsi="Arial" w:cs="Arial"/>
          <w:b/>
          <w:color w:val="2E74B5" w:themeColor="accent1" w:themeShade="BF"/>
          <w:sz w:val="40"/>
          <w:szCs w:val="20"/>
        </w:rPr>
      </w:pPr>
    </w:p>
    <w:p w14:paraId="3447241D" w14:textId="28412EC6" w:rsidR="002D0658" w:rsidRDefault="002D0658" w:rsidP="0004157D">
      <w:pPr>
        <w:tabs>
          <w:tab w:val="left" w:pos="5430"/>
        </w:tabs>
        <w:spacing w:after="0"/>
        <w:jc w:val="center"/>
        <w:rPr>
          <w:rFonts w:ascii="Arial" w:hAnsi="Arial" w:cs="Arial"/>
          <w:b/>
          <w:color w:val="2E74B5" w:themeColor="accent1" w:themeShade="BF"/>
          <w:sz w:val="40"/>
          <w:szCs w:val="20"/>
        </w:rPr>
      </w:pPr>
    </w:p>
    <w:p w14:paraId="67AC2B48" w14:textId="77777777" w:rsidR="002D0658" w:rsidRDefault="002D0658" w:rsidP="0004157D">
      <w:pPr>
        <w:tabs>
          <w:tab w:val="left" w:pos="5430"/>
        </w:tabs>
        <w:spacing w:after="0"/>
        <w:jc w:val="center"/>
        <w:rPr>
          <w:rFonts w:ascii="Arial" w:hAnsi="Arial" w:cs="Arial"/>
          <w:b/>
          <w:color w:val="2E74B5" w:themeColor="accent1" w:themeShade="BF"/>
          <w:sz w:val="40"/>
          <w:szCs w:val="20"/>
        </w:rPr>
      </w:pPr>
    </w:p>
    <w:p w14:paraId="21A6293D" w14:textId="7E88DBBA" w:rsidR="002D0658" w:rsidRDefault="002D0658" w:rsidP="0004157D">
      <w:pPr>
        <w:tabs>
          <w:tab w:val="left" w:pos="5430"/>
        </w:tabs>
        <w:spacing w:after="0"/>
        <w:jc w:val="center"/>
        <w:rPr>
          <w:rFonts w:ascii="Arial" w:hAnsi="Arial" w:cs="Arial"/>
          <w:b/>
          <w:color w:val="2E74B5" w:themeColor="accent1" w:themeShade="BF"/>
          <w:sz w:val="40"/>
          <w:szCs w:val="20"/>
        </w:rPr>
      </w:pPr>
    </w:p>
    <w:p w14:paraId="63627537" w14:textId="74C131CB" w:rsidR="002D0658" w:rsidRPr="0004157D" w:rsidRDefault="00157381" w:rsidP="0004157D">
      <w:pPr>
        <w:tabs>
          <w:tab w:val="left" w:pos="5430"/>
        </w:tabs>
        <w:spacing w:after="0"/>
        <w:jc w:val="center"/>
        <w:rPr>
          <w:rFonts w:ascii="Arial" w:hAnsi="Arial" w:cs="Arial"/>
          <w:b/>
          <w:color w:val="2E74B5" w:themeColor="accent1" w:themeShade="BF"/>
          <w:sz w:val="40"/>
          <w:szCs w:val="20"/>
        </w:rPr>
      </w:pPr>
      <w:r>
        <w:rPr>
          <w:noProof/>
        </w:rPr>
        <w:drawing>
          <wp:inline distT="0" distB="0" distL="0" distR="0" wp14:anchorId="32A02D09" wp14:editId="45EC8883">
            <wp:extent cx="2298584" cy="1852144"/>
            <wp:effectExtent l="0" t="0" r="698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524" cy="190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CCD16" w14:textId="77777777" w:rsidR="0004157D" w:rsidRPr="0004157D" w:rsidRDefault="0004157D" w:rsidP="0004157D">
      <w:pPr>
        <w:tabs>
          <w:tab w:val="left" w:pos="5430"/>
        </w:tabs>
        <w:spacing w:after="0"/>
        <w:jc w:val="center"/>
        <w:rPr>
          <w:rFonts w:ascii="Arial" w:hAnsi="Arial" w:cs="Arial"/>
          <w:noProof/>
          <w:sz w:val="44"/>
          <w:szCs w:val="20"/>
          <w:lang w:eastAsia="pl-PL"/>
        </w:rPr>
      </w:pPr>
    </w:p>
    <w:p w14:paraId="55A48D99" w14:textId="77777777" w:rsidR="0004157D" w:rsidRDefault="0004157D" w:rsidP="0004157D">
      <w:pPr>
        <w:tabs>
          <w:tab w:val="left" w:pos="5430"/>
        </w:tabs>
        <w:spacing w:after="0"/>
        <w:jc w:val="center"/>
        <w:rPr>
          <w:rFonts w:ascii="Arial" w:hAnsi="Arial" w:cs="Arial"/>
          <w:noProof/>
          <w:szCs w:val="20"/>
          <w:lang w:eastAsia="pl-PL"/>
        </w:rPr>
      </w:pPr>
    </w:p>
    <w:p w14:paraId="24D900CC" w14:textId="77777777" w:rsidR="0004157D" w:rsidRDefault="0004157D" w:rsidP="0004157D">
      <w:pPr>
        <w:tabs>
          <w:tab w:val="left" w:pos="5430"/>
        </w:tabs>
        <w:spacing w:after="0"/>
        <w:jc w:val="center"/>
        <w:rPr>
          <w:rFonts w:ascii="Arial" w:hAnsi="Arial" w:cs="Arial"/>
          <w:noProof/>
          <w:szCs w:val="20"/>
          <w:lang w:eastAsia="pl-PL"/>
        </w:rPr>
      </w:pPr>
    </w:p>
    <w:p w14:paraId="34006043" w14:textId="50AD89C5" w:rsidR="003E2E53" w:rsidRPr="0004157D" w:rsidRDefault="0004157D" w:rsidP="0004157D">
      <w:pPr>
        <w:tabs>
          <w:tab w:val="left" w:pos="543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D79AF21" w14:textId="77777777" w:rsidR="003E2E53" w:rsidRPr="003E2E53" w:rsidRDefault="003E2E53" w:rsidP="003E2E53">
      <w:pPr>
        <w:rPr>
          <w:rFonts w:ascii="Arial" w:hAnsi="Arial" w:cs="Arial"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70907012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0402EBA" w14:textId="77777777" w:rsidR="0004157D" w:rsidRPr="0004157D" w:rsidRDefault="0004157D">
          <w:pPr>
            <w:pStyle w:val="Nagwekspisutreci"/>
            <w:rPr>
              <w:rFonts w:ascii="Arial" w:hAnsi="Arial" w:cs="Arial"/>
              <w:b/>
              <w:color w:val="auto"/>
              <w:sz w:val="20"/>
              <w:szCs w:val="20"/>
            </w:rPr>
          </w:pPr>
          <w:r w:rsidRPr="0004157D">
            <w:rPr>
              <w:rFonts w:ascii="Arial" w:hAnsi="Arial" w:cs="Arial"/>
              <w:b/>
              <w:color w:val="auto"/>
              <w:sz w:val="20"/>
              <w:szCs w:val="20"/>
            </w:rPr>
            <w:t>Spis treści</w:t>
          </w:r>
        </w:p>
        <w:p w14:paraId="094D4FB8" w14:textId="77777777" w:rsidR="0004157D" w:rsidRPr="0004157D" w:rsidRDefault="0004157D">
          <w:pPr>
            <w:pStyle w:val="Spistreci2"/>
            <w:tabs>
              <w:tab w:val="right" w:leader="dot" w:pos="9062"/>
            </w:tabs>
            <w:rPr>
              <w:rFonts w:ascii="Arial" w:hAnsi="Arial" w:cs="Arial"/>
              <w:sz w:val="20"/>
              <w:szCs w:val="20"/>
            </w:rPr>
          </w:pPr>
        </w:p>
        <w:p w14:paraId="75F7F785" w14:textId="77777777" w:rsidR="009253BC" w:rsidRDefault="0004157D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04157D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04157D">
            <w:rPr>
              <w:rFonts w:ascii="Arial" w:hAnsi="Arial" w:cs="Arial"/>
              <w:b/>
              <w:sz w:val="20"/>
              <w:szCs w:val="20"/>
            </w:rPr>
            <w:instrText xml:space="preserve"> TOC \o "1-3" \h \z \u </w:instrText>
          </w:r>
          <w:r w:rsidRPr="0004157D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hyperlink w:anchor="_Toc92100373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1.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_Toc92100373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4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44DF9391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74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Wprowadzenie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_Toc92100374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4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502CEB08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75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2.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_Toc92100375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5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66416513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76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Stan zasobu mieszkaniowego Gminy Dzierzążnia oraz prognoza dotycząca jego wielkości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_Toc92100376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5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75CF7B91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77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3.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_Toc92100377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9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33C45892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78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Analiza potrzeb oraz plan remontów i modernizacji wynikający ze stanu technicznego budynków i lokali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_Toc92100378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9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0E86AC4A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79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4.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_Toc92100379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9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5F8C3ECA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0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Planowana sprzedaż budynków i lokali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_Toc92100380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9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2251B628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1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5.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_Toc92100381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10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33C5F027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2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Zasady polityki czynszowej oraz warunki obniżania czynszu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_Toc92100382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10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4B9AD6EB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3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6.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_Toc92100383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10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0E33CB8B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4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Aktywna windykacja należności czynszowych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_Toc92100384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10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741442A0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5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7.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_Toc92100385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11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484CD7A1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6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Sposób i zasady zarządzania lokalami i budynkami wchodzącymi w skład mieszkaniowego zasobu gminy oraz przewidywane zmiany w zakresie zarządzania mieszkaniowym zasobie gminy w kolejnych latach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_Toc92100386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11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46F91DB8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7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8.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_Toc92100387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11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5DF5FAB4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8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Źródła finansowania gospodarki mieszkaniowej w kolejnych latach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_Toc92100388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11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409FA395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89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9.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_Toc92100389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12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47535CF3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90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Wysokość kosztów w kolejnych latach, z podziałem na koszty bieżącej eksploatacji, kosztów remontów oraz koszty modernizacji lokali i budynków wchodzących w skład mieszkaniowego zasobu gminy, koszty zarządu nieruchomościami wspólnymi, których gmina jest jednym  ze współwłaścicieli, a także wydatki inwestycyjne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_Toc92100390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12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6421BD9A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91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Rozdział 10.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_Toc92100391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12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7D73A94A" w14:textId="77777777" w:rsidR="009253BC" w:rsidRDefault="004F0738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92100392" w:history="1">
            <w:r w:rsidR="009253BC" w:rsidRPr="00FF7B5A">
              <w:rPr>
                <w:rStyle w:val="Hipercze"/>
                <w:rFonts w:ascii="Arial" w:hAnsi="Arial" w:cs="Arial"/>
                <w:b/>
                <w:noProof/>
              </w:rPr>
              <w:t>Działania mające na celu poprawę wykorzystania i racjonalizację gospodarowania mieszkaniowym zasobem gminy</w:t>
            </w:r>
            <w:r w:rsidR="009253BC">
              <w:rPr>
                <w:noProof/>
                <w:webHidden/>
              </w:rPr>
              <w:tab/>
            </w:r>
            <w:r w:rsidR="009253BC">
              <w:rPr>
                <w:noProof/>
                <w:webHidden/>
              </w:rPr>
              <w:fldChar w:fldCharType="begin"/>
            </w:r>
            <w:r w:rsidR="009253BC">
              <w:rPr>
                <w:noProof/>
                <w:webHidden/>
              </w:rPr>
              <w:instrText xml:space="preserve"> PAGEREF _Toc92100392 \h </w:instrText>
            </w:r>
            <w:r w:rsidR="009253BC">
              <w:rPr>
                <w:noProof/>
                <w:webHidden/>
              </w:rPr>
            </w:r>
            <w:r w:rsidR="009253BC">
              <w:rPr>
                <w:noProof/>
                <w:webHidden/>
              </w:rPr>
              <w:fldChar w:fldCharType="separate"/>
            </w:r>
            <w:r w:rsidR="009253BC">
              <w:rPr>
                <w:noProof/>
                <w:webHidden/>
              </w:rPr>
              <w:t>12</w:t>
            </w:r>
            <w:r w:rsidR="009253BC">
              <w:rPr>
                <w:noProof/>
                <w:webHidden/>
              </w:rPr>
              <w:fldChar w:fldCharType="end"/>
            </w:r>
          </w:hyperlink>
        </w:p>
        <w:p w14:paraId="59326EBF" w14:textId="77777777" w:rsidR="0004157D" w:rsidRPr="0004157D" w:rsidRDefault="0004157D">
          <w:r w:rsidRPr="0004157D">
            <w:rPr>
              <w:rFonts w:ascii="Arial" w:hAnsi="Arial" w:cs="Arial"/>
              <w:bCs/>
              <w:sz w:val="20"/>
              <w:szCs w:val="20"/>
            </w:rPr>
            <w:fldChar w:fldCharType="end"/>
          </w:r>
        </w:p>
      </w:sdtContent>
    </w:sdt>
    <w:p w14:paraId="7ECF80C1" w14:textId="77777777" w:rsidR="003E2E53" w:rsidRPr="003E2E53" w:rsidRDefault="003E2E53" w:rsidP="003E2E53">
      <w:pPr>
        <w:tabs>
          <w:tab w:val="left" w:pos="5430"/>
        </w:tabs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ab/>
      </w:r>
    </w:p>
    <w:p w14:paraId="798B777A" w14:textId="77777777" w:rsidR="003E2E53" w:rsidRPr="003E2E53" w:rsidRDefault="003E2E53" w:rsidP="003E2E53">
      <w:pPr>
        <w:tabs>
          <w:tab w:val="left" w:pos="5430"/>
        </w:tabs>
        <w:rPr>
          <w:rFonts w:ascii="Arial" w:hAnsi="Arial" w:cs="Arial"/>
          <w:sz w:val="20"/>
          <w:szCs w:val="20"/>
        </w:rPr>
      </w:pPr>
    </w:p>
    <w:p w14:paraId="76737DD3" w14:textId="77777777" w:rsidR="0004157D" w:rsidRDefault="0004157D" w:rsidP="003E2E53">
      <w:pPr>
        <w:tabs>
          <w:tab w:val="left" w:pos="5430"/>
        </w:tabs>
        <w:rPr>
          <w:rFonts w:ascii="Arial" w:hAnsi="Arial" w:cs="Arial"/>
          <w:sz w:val="20"/>
          <w:szCs w:val="20"/>
        </w:rPr>
      </w:pPr>
    </w:p>
    <w:p w14:paraId="47AF0741" w14:textId="77777777" w:rsidR="0004157D" w:rsidRDefault="000415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4DC7630" w14:textId="77777777" w:rsidR="00EE4149" w:rsidRDefault="003E2E53" w:rsidP="003E2E53">
      <w:pPr>
        <w:tabs>
          <w:tab w:val="left" w:pos="5430"/>
        </w:tabs>
        <w:spacing w:after="0"/>
        <w:jc w:val="center"/>
        <w:rPr>
          <w:rFonts w:ascii="Arial" w:hAnsi="Arial" w:cs="Arial"/>
          <w:b/>
        </w:rPr>
      </w:pPr>
      <w:r w:rsidRPr="00EE4149">
        <w:rPr>
          <w:rFonts w:ascii="Arial" w:hAnsi="Arial" w:cs="Arial"/>
          <w:b/>
        </w:rPr>
        <w:lastRenderedPageBreak/>
        <w:t xml:space="preserve">WIELOLETNI PROGRAM GOSPODAROWANIA MIESZKANIOWYM ZASOBEM </w:t>
      </w:r>
    </w:p>
    <w:p w14:paraId="0842F792" w14:textId="29D96AA1" w:rsidR="003E2E53" w:rsidRPr="00EE4149" w:rsidRDefault="003E2E53" w:rsidP="003E2E53">
      <w:pPr>
        <w:tabs>
          <w:tab w:val="left" w:pos="5430"/>
        </w:tabs>
        <w:spacing w:after="0"/>
        <w:jc w:val="center"/>
        <w:rPr>
          <w:rFonts w:ascii="Arial" w:hAnsi="Arial" w:cs="Arial"/>
          <w:b/>
        </w:rPr>
      </w:pPr>
      <w:r w:rsidRPr="00EE4149">
        <w:rPr>
          <w:rFonts w:ascii="Arial" w:hAnsi="Arial" w:cs="Arial"/>
          <w:b/>
        </w:rPr>
        <w:t xml:space="preserve">GMINY </w:t>
      </w:r>
      <w:r w:rsidR="001F3947" w:rsidRPr="00EE4149">
        <w:rPr>
          <w:rFonts w:ascii="Arial" w:hAnsi="Arial" w:cs="Arial"/>
          <w:b/>
        </w:rPr>
        <w:t>DZIERZĄŻNIA NA LATA 2022-2026</w:t>
      </w:r>
    </w:p>
    <w:p w14:paraId="0C206326" w14:textId="77777777" w:rsidR="003E2E53" w:rsidRPr="003E2E53" w:rsidRDefault="003E2E53" w:rsidP="003E2E53">
      <w:pPr>
        <w:tabs>
          <w:tab w:val="left" w:pos="543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1886ABE" w14:textId="562993D8" w:rsidR="003E2E53" w:rsidRPr="003E2E53" w:rsidRDefault="00157381" w:rsidP="003E2E53">
      <w:pPr>
        <w:tabs>
          <w:tab w:val="left" w:pos="543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1419AF6C" wp14:editId="67EC5357">
            <wp:extent cx="1240155" cy="999287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155" cy="1044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3CEDD" w14:textId="77777777" w:rsidR="00093C6A" w:rsidRDefault="00093C6A" w:rsidP="00093C6A">
      <w:pPr>
        <w:tabs>
          <w:tab w:val="left" w:pos="543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AD3FE4D" w14:textId="68AEBECA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0" w:name="_Toc92100373"/>
      <w:r w:rsidRPr="0004157D">
        <w:rPr>
          <w:rFonts w:ascii="Arial" w:hAnsi="Arial" w:cs="Arial"/>
          <w:b/>
          <w:color w:val="auto"/>
          <w:sz w:val="20"/>
          <w:szCs w:val="20"/>
        </w:rPr>
        <w:t>Rozdział 1</w:t>
      </w:r>
      <w:bookmarkEnd w:id="0"/>
    </w:p>
    <w:p w14:paraId="61CFC04A" w14:textId="77777777" w:rsidR="003E2E53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" w:name="_Toc92100374"/>
      <w:r w:rsidRPr="0004157D">
        <w:rPr>
          <w:rFonts w:ascii="Arial" w:hAnsi="Arial" w:cs="Arial"/>
          <w:b/>
          <w:color w:val="auto"/>
          <w:sz w:val="20"/>
          <w:szCs w:val="20"/>
        </w:rPr>
        <w:t>Wprowadzenie</w:t>
      </w:r>
      <w:bookmarkEnd w:id="1"/>
    </w:p>
    <w:p w14:paraId="7A10BB82" w14:textId="77777777" w:rsidR="003E2E53" w:rsidRPr="003E2E53" w:rsidRDefault="003E2E53" w:rsidP="003E2E53">
      <w:pPr>
        <w:tabs>
          <w:tab w:val="left" w:pos="5430"/>
        </w:tabs>
        <w:spacing w:after="0"/>
        <w:rPr>
          <w:rFonts w:ascii="Arial" w:hAnsi="Arial" w:cs="Arial"/>
          <w:b/>
          <w:sz w:val="20"/>
          <w:szCs w:val="20"/>
        </w:rPr>
      </w:pPr>
    </w:p>
    <w:p w14:paraId="6EF66841" w14:textId="77777777" w:rsidR="003E2E53" w:rsidRP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ab/>
        <w:t>Ustawa o ochronie praw lokatorów nakłada na gminy obowiązek uchwalania wieloletnich programów</w:t>
      </w:r>
      <w:r>
        <w:rPr>
          <w:rFonts w:ascii="Arial" w:hAnsi="Arial" w:cs="Arial"/>
          <w:sz w:val="20"/>
          <w:szCs w:val="20"/>
        </w:rPr>
        <w:t xml:space="preserve">  </w:t>
      </w:r>
      <w:r w:rsidRPr="003E2E53">
        <w:rPr>
          <w:rFonts w:ascii="Arial" w:hAnsi="Arial" w:cs="Arial"/>
          <w:sz w:val="20"/>
          <w:szCs w:val="20"/>
        </w:rPr>
        <w:t>gospodarowania</w:t>
      </w:r>
      <w:r>
        <w:rPr>
          <w:rFonts w:ascii="Arial" w:hAnsi="Arial" w:cs="Arial"/>
          <w:sz w:val="20"/>
          <w:szCs w:val="20"/>
        </w:rPr>
        <w:t xml:space="preserve">  </w:t>
      </w:r>
      <w:r w:rsidRPr="003E2E53">
        <w:rPr>
          <w:rFonts w:ascii="Arial" w:hAnsi="Arial" w:cs="Arial"/>
          <w:sz w:val="20"/>
          <w:szCs w:val="20"/>
        </w:rPr>
        <w:t>mieszkaniowym</w:t>
      </w:r>
      <w:r>
        <w:rPr>
          <w:rFonts w:ascii="Arial" w:hAnsi="Arial" w:cs="Arial"/>
          <w:sz w:val="20"/>
          <w:szCs w:val="20"/>
        </w:rPr>
        <w:t xml:space="preserve">  </w:t>
      </w:r>
      <w:r w:rsidRPr="003E2E53">
        <w:rPr>
          <w:rFonts w:ascii="Arial" w:hAnsi="Arial" w:cs="Arial"/>
          <w:sz w:val="20"/>
          <w:szCs w:val="20"/>
        </w:rPr>
        <w:t>zasobem</w:t>
      </w:r>
      <w:r>
        <w:rPr>
          <w:rFonts w:ascii="Arial" w:hAnsi="Arial" w:cs="Arial"/>
          <w:sz w:val="20"/>
          <w:szCs w:val="20"/>
        </w:rPr>
        <w:t xml:space="preserve">  </w:t>
      </w:r>
      <w:r w:rsidRPr="003E2E53">
        <w:rPr>
          <w:rFonts w:ascii="Arial" w:hAnsi="Arial" w:cs="Arial"/>
          <w:sz w:val="20"/>
          <w:szCs w:val="20"/>
        </w:rPr>
        <w:t>gminy,</w:t>
      </w:r>
      <w:r>
        <w:rPr>
          <w:rFonts w:ascii="Arial" w:hAnsi="Arial" w:cs="Arial"/>
          <w:sz w:val="20"/>
          <w:szCs w:val="20"/>
        </w:rPr>
        <w:t xml:space="preserve">  </w:t>
      </w:r>
      <w:r w:rsidRPr="003E2E53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 xml:space="preserve">  </w:t>
      </w:r>
      <w:r w:rsidRPr="003E2E53">
        <w:rPr>
          <w:rFonts w:ascii="Arial" w:hAnsi="Arial" w:cs="Arial"/>
          <w:sz w:val="20"/>
          <w:szCs w:val="20"/>
        </w:rPr>
        <w:t>co</w:t>
      </w:r>
      <w:r>
        <w:rPr>
          <w:rFonts w:ascii="Arial" w:hAnsi="Arial" w:cs="Arial"/>
          <w:sz w:val="20"/>
          <w:szCs w:val="20"/>
        </w:rPr>
        <w:t xml:space="preserve">  </w:t>
      </w:r>
      <w:r w:rsidRPr="003E2E53">
        <w:rPr>
          <w:rFonts w:ascii="Arial" w:hAnsi="Arial" w:cs="Arial"/>
          <w:sz w:val="20"/>
          <w:szCs w:val="20"/>
        </w:rPr>
        <w:t>najmniej 5 kolejnych lat. Opracowanie go na podstawie zasobów mieszkaniowych Gminy Dzierzążnia w dużej mierze pozwoli na przyjęcie odpowiedniej strategii finansowania rozwoju gminnego mieszkalnictwa.</w:t>
      </w:r>
    </w:p>
    <w:p w14:paraId="7E0A7388" w14:textId="77777777" w:rsidR="003E2E53" w:rsidRP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FF143A" w14:textId="77777777" w:rsidR="003E2E53" w:rsidRP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ab/>
        <w:t xml:space="preserve">Posiadanie przez gminę własnego zasobu mieszkaniowego jest sprawą priorytetową, </w:t>
      </w:r>
      <w:r>
        <w:rPr>
          <w:rFonts w:ascii="Arial" w:hAnsi="Arial" w:cs="Arial"/>
          <w:sz w:val="20"/>
          <w:szCs w:val="20"/>
        </w:rPr>
        <w:br/>
      </w:r>
      <w:r w:rsidRPr="003E2E53">
        <w:rPr>
          <w:rFonts w:ascii="Arial" w:hAnsi="Arial" w:cs="Arial"/>
          <w:sz w:val="20"/>
          <w:szCs w:val="20"/>
        </w:rPr>
        <w:t>gdyż zgodnie z ustawą z dnia 21 czerwca 2001 roku o ochronie praw lokatorów, mieszkaniowym zasobie gminy i o zmianie Kodeksu cywilnego, gmina ma obowiązek zapewnić lokale socjalne, tymczasowe i zamienne na zasadach i w wypadkach przewidzianych ustawą, a także zaspokajać potrzeby mieszkaniowe gospodarstw domowych o niskich dochodach. W celu realizacji zadań własnych gmina może tworzyć i posiadać zasób mieszkaniowy.</w:t>
      </w:r>
    </w:p>
    <w:p w14:paraId="61B7DD98" w14:textId="77777777" w:rsidR="003E2E53" w:rsidRP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 </w:t>
      </w:r>
      <w:r w:rsidRPr="003E2E53">
        <w:rPr>
          <w:rFonts w:ascii="Arial" w:hAnsi="Arial" w:cs="Arial"/>
          <w:sz w:val="20"/>
          <w:szCs w:val="20"/>
        </w:rPr>
        <w:tab/>
      </w:r>
    </w:p>
    <w:p w14:paraId="65BCF90B" w14:textId="77777777" w:rsidR="003E2E53" w:rsidRP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ab/>
        <w:t>Wieloletni program gospodarowania mieszkaniowym zasobem</w:t>
      </w:r>
      <w:r w:rsidR="001F3947">
        <w:rPr>
          <w:rFonts w:ascii="Arial" w:hAnsi="Arial" w:cs="Arial"/>
          <w:sz w:val="20"/>
          <w:szCs w:val="20"/>
        </w:rPr>
        <w:t xml:space="preserve"> Gminy Dzierzążnia </w:t>
      </w:r>
      <w:r w:rsidR="001F3947">
        <w:rPr>
          <w:rFonts w:ascii="Arial" w:hAnsi="Arial" w:cs="Arial"/>
          <w:sz w:val="20"/>
          <w:szCs w:val="20"/>
        </w:rPr>
        <w:br/>
        <w:t>na lata 2022-2026</w:t>
      </w:r>
      <w:r w:rsidRPr="003E2E53">
        <w:rPr>
          <w:rFonts w:ascii="Arial" w:hAnsi="Arial" w:cs="Arial"/>
          <w:sz w:val="20"/>
          <w:szCs w:val="20"/>
        </w:rPr>
        <w:t xml:space="preserve"> zwany dalej „Programem” obejmuje w szczególności:</w:t>
      </w:r>
    </w:p>
    <w:p w14:paraId="1DAAF942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Prognozę dotyczącą wielkości oraz stanu technicznego zasobu mieszkaniowego Gminy Dzierzążnia;</w:t>
      </w:r>
    </w:p>
    <w:p w14:paraId="43291FC9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Analizę potrzeb oraz plan remontów i modernizacji wynikający ze stanu technicznego budynków </w:t>
      </w:r>
      <w:r>
        <w:rPr>
          <w:rFonts w:ascii="Arial" w:hAnsi="Arial" w:cs="Arial"/>
          <w:sz w:val="20"/>
          <w:szCs w:val="20"/>
        </w:rPr>
        <w:br/>
      </w:r>
      <w:r w:rsidRPr="003E2E53">
        <w:rPr>
          <w:rFonts w:ascii="Arial" w:hAnsi="Arial" w:cs="Arial"/>
          <w:sz w:val="20"/>
          <w:szCs w:val="20"/>
        </w:rPr>
        <w:t>i lokali;</w:t>
      </w:r>
    </w:p>
    <w:p w14:paraId="1BB52E73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Planowaną sprzedaż budynków i lokali;</w:t>
      </w:r>
    </w:p>
    <w:p w14:paraId="10C3AFBF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Zasady polityki czynszowej oraz warunki obniżenia czynszu;</w:t>
      </w:r>
    </w:p>
    <w:p w14:paraId="3E39EE2E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Sposób i zasady zarządzania lokalami i budynkami wchodzącymi w skład mieszkaniowego zasobu gminy oraz przewidywane zmiany w zakresie zarządzania mieszkaniowym zasobem gminy </w:t>
      </w:r>
      <w:r>
        <w:rPr>
          <w:rFonts w:ascii="Arial" w:hAnsi="Arial" w:cs="Arial"/>
          <w:sz w:val="20"/>
          <w:szCs w:val="20"/>
        </w:rPr>
        <w:br/>
      </w:r>
      <w:r w:rsidRPr="003E2E53">
        <w:rPr>
          <w:rFonts w:ascii="Arial" w:hAnsi="Arial" w:cs="Arial"/>
          <w:sz w:val="20"/>
          <w:szCs w:val="20"/>
        </w:rPr>
        <w:t>w kolejnych latach;</w:t>
      </w:r>
    </w:p>
    <w:p w14:paraId="4F73329A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Źródła finansowania gospodarki mieszkaniowej w kolejnych latach;</w:t>
      </w:r>
    </w:p>
    <w:p w14:paraId="11691A43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Wysokość kosztów w kolejnych latach, z podziałem na koszty bieżącej eksploatacji, kosztów remontów oraz koszty modernizacji lokali i budynków wchodzących w skład mieszkaniowego zasobu gminy, koszty zarządu nieruchomościami wspólnymi, których gmina jest jednym </w:t>
      </w:r>
      <w:r>
        <w:rPr>
          <w:rFonts w:ascii="Arial" w:hAnsi="Arial" w:cs="Arial"/>
          <w:sz w:val="20"/>
          <w:szCs w:val="20"/>
        </w:rPr>
        <w:br/>
      </w:r>
      <w:r w:rsidRPr="003E2E53">
        <w:rPr>
          <w:rFonts w:ascii="Arial" w:hAnsi="Arial" w:cs="Arial"/>
          <w:sz w:val="20"/>
          <w:szCs w:val="20"/>
        </w:rPr>
        <w:t>ze współwłaścicieli, a także wydatki inwestycyjne;</w:t>
      </w:r>
    </w:p>
    <w:p w14:paraId="0821276D" w14:textId="77777777" w:rsidR="003E2E53" w:rsidRPr="003E2E53" w:rsidRDefault="003E2E53" w:rsidP="00093C6A">
      <w:pPr>
        <w:pStyle w:val="Akapitzlist"/>
        <w:numPr>
          <w:ilvl w:val="0"/>
          <w:numId w:val="1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Działania mające na celu poprawę wykorzystania i racjonalizację gospodarowania mieszkaniowym zasobem Gminy Dzierzążnia.</w:t>
      </w:r>
    </w:p>
    <w:p w14:paraId="7AF24514" w14:textId="77777777" w:rsidR="003E2E53" w:rsidRPr="003E2E53" w:rsidRDefault="003E2E53" w:rsidP="00093C6A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B511138" w14:textId="77777777" w:rsid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E2E53">
        <w:rPr>
          <w:rFonts w:ascii="Arial" w:hAnsi="Arial" w:cs="Arial"/>
          <w:b/>
          <w:sz w:val="20"/>
          <w:szCs w:val="20"/>
        </w:rPr>
        <w:t>Słowniczek:</w:t>
      </w:r>
    </w:p>
    <w:p w14:paraId="31EE15DF" w14:textId="77777777" w:rsidR="003E2E53" w:rsidRPr="003E2E53" w:rsidRDefault="003E2E53" w:rsidP="00093C6A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Ilekroć w uchwale mowa jest o:</w:t>
      </w:r>
    </w:p>
    <w:p w14:paraId="15C9D9DD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ustawie  bez bliższego określenia- należy przez to rozumieć ustawę z dnia 21 czerwca 2001 roku o ochronie praw lokatorów, mieszkaniowym zasobie gminy i o zmianie Kodeksu cywilnego </w:t>
      </w:r>
      <w:r>
        <w:rPr>
          <w:rFonts w:ascii="Arial" w:hAnsi="Arial" w:cs="Arial"/>
          <w:sz w:val="20"/>
          <w:szCs w:val="20"/>
        </w:rPr>
        <w:br/>
      </w:r>
      <w:r w:rsidR="00EA715E">
        <w:rPr>
          <w:rFonts w:ascii="Arial" w:hAnsi="Arial" w:cs="Arial"/>
          <w:sz w:val="20"/>
          <w:szCs w:val="20"/>
        </w:rPr>
        <w:t>(Dz. U. z 2020 r. poz. 611 ze zm.</w:t>
      </w:r>
      <w:r w:rsidRPr="003E2E53">
        <w:rPr>
          <w:rFonts w:ascii="Arial" w:hAnsi="Arial" w:cs="Arial"/>
          <w:sz w:val="20"/>
          <w:szCs w:val="20"/>
        </w:rPr>
        <w:t>),</w:t>
      </w:r>
    </w:p>
    <w:p w14:paraId="7BB7C28E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czynszu- należy przez to rozumieć świadczenie należne z tytułu najmu lokalu,</w:t>
      </w:r>
    </w:p>
    <w:p w14:paraId="53AFC888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gminie- należy przez to rozumieć Gminę Dzierzążnia,</w:t>
      </w:r>
    </w:p>
    <w:p w14:paraId="19ACE87E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najemcy/lokatorze- należy rozumieć przez to najemcę lokalu lub osobę używającą lokal </w:t>
      </w:r>
      <w:r>
        <w:rPr>
          <w:rFonts w:ascii="Arial" w:hAnsi="Arial" w:cs="Arial"/>
          <w:sz w:val="20"/>
          <w:szCs w:val="20"/>
        </w:rPr>
        <w:br/>
      </w:r>
      <w:r w:rsidRPr="003E2E53">
        <w:rPr>
          <w:rFonts w:ascii="Arial" w:hAnsi="Arial" w:cs="Arial"/>
          <w:sz w:val="20"/>
          <w:szCs w:val="20"/>
        </w:rPr>
        <w:t>na podstawie innego tytułu prawnego niż prawo własności,</w:t>
      </w:r>
    </w:p>
    <w:p w14:paraId="195FF082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lastRenderedPageBreak/>
        <w:t xml:space="preserve">gospodarstwie domowym- należy przez to rozumieć gospodarstwo domowe, o którym mowa </w:t>
      </w:r>
      <w:r>
        <w:rPr>
          <w:rFonts w:ascii="Arial" w:hAnsi="Arial" w:cs="Arial"/>
          <w:sz w:val="20"/>
          <w:szCs w:val="20"/>
        </w:rPr>
        <w:br/>
      </w:r>
      <w:r w:rsidRPr="003E2E53">
        <w:rPr>
          <w:rFonts w:ascii="Arial" w:hAnsi="Arial" w:cs="Arial"/>
          <w:sz w:val="20"/>
          <w:szCs w:val="20"/>
        </w:rPr>
        <w:t>w przepisach o dodatkach mieszkaniowych,</w:t>
      </w:r>
    </w:p>
    <w:p w14:paraId="109A70B0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lokalu- należy przez to rozumieć lokal, o którym mowa w art. 2 ust. 1 pkt 4 ustawy,</w:t>
      </w:r>
    </w:p>
    <w:p w14:paraId="0FE1D207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mieszkaniowym zasobie gminy- należy przez to rozumieć lokale, o których mowa w art.2 ust. 1 pkt 10 ustawy,</w:t>
      </w:r>
    </w:p>
    <w:p w14:paraId="654311F6" w14:textId="55EE0883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kosztach utrzymania lokalu- należy przez to rozumieć koszty, o których mowa w art. 2 ust. 1 pkt 8 lit.</w:t>
      </w:r>
      <w:r w:rsidR="00BC2678">
        <w:rPr>
          <w:rFonts w:ascii="Arial" w:hAnsi="Arial" w:cs="Arial"/>
          <w:sz w:val="20"/>
          <w:szCs w:val="20"/>
        </w:rPr>
        <w:t xml:space="preserve"> </w:t>
      </w:r>
      <w:r w:rsidRPr="003E2E53">
        <w:rPr>
          <w:rFonts w:ascii="Arial" w:hAnsi="Arial" w:cs="Arial"/>
          <w:sz w:val="20"/>
          <w:szCs w:val="20"/>
        </w:rPr>
        <w:t>a ustawy,</w:t>
      </w:r>
    </w:p>
    <w:p w14:paraId="5914E5C7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budynku komunalnym- należy przez to rozumieć budynek należący do zasobów Gminy Dzierzążnia,</w:t>
      </w:r>
    </w:p>
    <w:p w14:paraId="11BFF437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lokalu komunalnym- należy przez to rozumieć lokal należący do zasobów Gminy Dzierzążnia,</w:t>
      </w:r>
    </w:p>
    <w:p w14:paraId="0C088B32" w14:textId="77777777" w:rsidR="003E2E53" w:rsidRPr="003E2E53" w:rsidRDefault="003E2E53" w:rsidP="00093C6A">
      <w:pPr>
        <w:pStyle w:val="Akapitzlist"/>
        <w:numPr>
          <w:ilvl w:val="0"/>
          <w:numId w:val="2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wójcie- należy przez to rozumieć Wójta Gminy Dzierzążnia. </w:t>
      </w:r>
    </w:p>
    <w:p w14:paraId="3ED0ACE5" w14:textId="79D251F5" w:rsidR="003E2E53" w:rsidRDefault="003E2E53" w:rsidP="00093C6A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14"/>
          <w:szCs w:val="20"/>
        </w:rPr>
      </w:pPr>
    </w:p>
    <w:p w14:paraId="149F0F61" w14:textId="77777777" w:rsidR="00C66873" w:rsidRPr="00E31171" w:rsidRDefault="00C66873" w:rsidP="00093C6A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14"/>
          <w:szCs w:val="20"/>
        </w:rPr>
      </w:pPr>
    </w:p>
    <w:p w14:paraId="66859BB7" w14:textId="12DA43CC" w:rsidR="003E2E53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2" w:name="_Toc92100375"/>
      <w:r w:rsidRPr="0004157D">
        <w:rPr>
          <w:rFonts w:ascii="Arial" w:hAnsi="Arial" w:cs="Arial"/>
          <w:b/>
          <w:color w:val="auto"/>
          <w:sz w:val="20"/>
          <w:szCs w:val="20"/>
        </w:rPr>
        <w:t>Rozdział 2</w:t>
      </w:r>
      <w:bookmarkEnd w:id="2"/>
    </w:p>
    <w:p w14:paraId="2EB3A31C" w14:textId="55D89858" w:rsidR="003E2E53" w:rsidRDefault="003E2E53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3" w:name="_Toc92100376"/>
      <w:r w:rsidRPr="0004157D">
        <w:rPr>
          <w:rFonts w:ascii="Arial" w:hAnsi="Arial" w:cs="Arial"/>
          <w:b/>
          <w:color w:val="auto"/>
          <w:sz w:val="20"/>
          <w:szCs w:val="20"/>
        </w:rPr>
        <w:t>Stan zasobu mieszkaniowego Gminy Dzierzążnia oraz prognoza dotycząca jego wielkości</w:t>
      </w:r>
      <w:bookmarkEnd w:id="3"/>
    </w:p>
    <w:p w14:paraId="715938D0" w14:textId="77777777" w:rsidR="00C66873" w:rsidRPr="00C66873" w:rsidRDefault="00C66873" w:rsidP="00C66873"/>
    <w:p w14:paraId="3C8524AA" w14:textId="77777777" w:rsidR="00093C6A" w:rsidRPr="003E2E53" w:rsidRDefault="003E2E53" w:rsidP="00093C6A">
      <w:pPr>
        <w:pStyle w:val="Akapitzlist"/>
        <w:tabs>
          <w:tab w:val="left" w:pos="0"/>
        </w:tabs>
        <w:spacing w:after="0" w:line="276" w:lineRule="auto"/>
        <w:ind w:left="0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b/>
          <w:sz w:val="20"/>
          <w:szCs w:val="20"/>
        </w:rPr>
        <w:t xml:space="preserve">§ 1. </w:t>
      </w:r>
      <w:r w:rsidRPr="003E2E53">
        <w:rPr>
          <w:rFonts w:ascii="Arial" w:hAnsi="Arial" w:cs="Arial"/>
          <w:sz w:val="20"/>
          <w:szCs w:val="20"/>
        </w:rPr>
        <w:t xml:space="preserve"> </w:t>
      </w:r>
    </w:p>
    <w:p w14:paraId="5ADC7023" w14:textId="77777777" w:rsidR="003E2E53" w:rsidRPr="003E2E53" w:rsidRDefault="003E2E53" w:rsidP="0004157D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Mieszkaniowym zasobem gminy zarządza Wójt Gminy Dzierzążnia.</w:t>
      </w:r>
    </w:p>
    <w:p w14:paraId="55C6DB82" w14:textId="77777777" w:rsidR="003E2E53" w:rsidRPr="003E2E53" w:rsidRDefault="003E2E53" w:rsidP="0004157D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Według stanu na dzień </w:t>
      </w:r>
      <w:r w:rsidR="00E31171">
        <w:rPr>
          <w:rFonts w:ascii="Arial" w:hAnsi="Arial" w:cs="Arial"/>
          <w:sz w:val="20"/>
          <w:szCs w:val="20"/>
        </w:rPr>
        <w:t>30 listopada 2021</w:t>
      </w:r>
      <w:r w:rsidR="00135D4F">
        <w:rPr>
          <w:rFonts w:ascii="Arial" w:hAnsi="Arial" w:cs="Arial"/>
          <w:sz w:val="20"/>
          <w:szCs w:val="20"/>
        </w:rPr>
        <w:t xml:space="preserve"> roku gmina dysponuje 24</w:t>
      </w:r>
      <w:r w:rsidRPr="003E2E53">
        <w:rPr>
          <w:rFonts w:ascii="Arial" w:hAnsi="Arial" w:cs="Arial"/>
          <w:sz w:val="20"/>
          <w:szCs w:val="20"/>
        </w:rPr>
        <w:t xml:space="preserve"> lokalami mieszkalnymi.</w:t>
      </w:r>
    </w:p>
    <w:p w14:paraId="48E0008A" w14:textId="77777777" w:rsidR="003E2E53" w:rsidRPr="003E2E53" w:rsidRDefault="003E2E53" w:rsidP="0004157D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 xml:space="preserve">W skład mieszkaniowego zasobu wchodzą lokale mieszkalne stanowiące własność gminy, położone w budynkach będących własnością gminy Dzierzążnia. </w:t>
      </w:r>
    </w:p>
    <w:p w14:paraId="548180B4" w14:textId="530562B0" w:rsidR="003E2E53" w:rsidRDefault="003E2E53" w:rsidP="0004157D">
      <w:pPr>
        <w:pStyle w:val="Akapitzlist"/>
        <w:numPr>
          <w:ilvl w:val="0"/>
          <w:numId w:val="3"/>
        </w:numPr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2E53">
        <w:rPr>
          <w:rFonts w:ascii="Arial" w:hAnsi="Arial" w:cs="Arial"/>
          <w:sz w:val="20"/>
          <w:szCs w:val="20"/>
        </w:rPr>
        <w:t>Wielkość mieszkaniowego zasobu gminy przedstawia poniższa tabela:</w:t>
      </w:r>
    </w:p>
    <w:p w14:paraId="10A7EB9B" w14:textId="77777777" w:rsidR="002D0658" w:rsidRDefault="002D0658" w:rsidP="002D0658">
      <w:pPr>
        <w:pStyle w:val="Akapitzlist"/>
        <w:tabs>
          <w:tab w:val="left" w:pos="0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73359AD" w14:textId="77777777" w:rsidR="00093C6A" w:rsidRPr="00E31171" w:rsidRDefault="00093C6A" w:rsidP="00093C6A">
      <w:pPr>
        <w:tabs>
          <w:tab w:val="left" w:pos="0"/>
        </w:tabs>
        <w:spacing w:after="0"/>
        <w:rPr>
          <w:rFonts w:ascii="Arial" w:hAnsi="Arial" w:cs="Arial"/>
          <w:sz w:val="2"/>
          <w:szCs w:val="2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955"/>
        <w:gridCol w:w="2208"/>
        <w:gridCol w:w="1560"/>
        <w:gridCol w:w="1842"/>
      </w:tblGrid>
      <w:tr w:rsidR="00093C6A" w:rsidRPr="00093C6A" w14:paraId="63FED70C" w14:textId="77777777" w:rsidTr="00691D7D">
        <w:trPr>
          <w:trHeight w:val="741"/>
        </w:trPr>
        <w:tc>
          <w:tcPr>
            <w:tcW w:w="50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580404F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Lp.</w:t>
            </w:r>
          </w:p>
        </w:tc>
        <w:tc>
          <w:tcPr>
            <w:tcW w:w="295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2D4007CC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Rodzaj budynku</w:t>
            </w:r>
          </w:p>
        </w:tc>
        <w:tc>
          <w:tcPr>
            <w:tcW w:w="220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14:paraId="6EA0589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</w:p>
          <w:p w14:paraId="1873D09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Ilość budynków</w:t>
            </w:r>
          </w:p>
        </w:tc>
        <w:tc>
          <w:tcPr>
            <w:tcW w:w="1560" w:type="dxa"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14:paraId="2E15A64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</w:p>
          <w:p w14:paraId="07441726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Ilość lokali mieszkalnych</w:t>
            </w:r>
          </w:p>
          <w:p w14:paraId="5A38B15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14:paraId="4BF9559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</w:p>
          <w:p w14:paraId="3A86E4A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Powierzchnia użytkowa [m 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vertAlign w:val="superscript"/>
                <w:lang w:eastAsia="pl-PL"/>
              </w:rPr>
              <w:t>2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]</w:t>
            </w:r>
          </w:p>
        </w:tc>
      </w:tr>
      <w:tr w:rsidR="00093C6A" w:rsidRPr="00093C6A" w14:paraId="66445025" w14:textId="77777777" w:rsidTr="00691D7D">
        <w:trPr>
          <w:trHeight w:val="420"/>
        </w:trPr>
        <w:tc>
          <w:tcPr>
            <w:tcW w:w="50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428CD54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1.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noWrap/>
            <w:vAlign w:val="center"/>
            <w:hideMark/>
          </w:tcPr>
          <w:p w14:paraId="2FDEF08B" w14:textId="5D96DDD5" w:rsidR="00093C6A" w:rsidRPr="00093C6A" w:rsidRDefault="00093C6A" w:rsidP="00691D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Lok</w:t>
            </w:r>
            <w:r w:rsidR="00691D7D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ale 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mieszkaln</w:t>
            </w:r>
            <w:r w:rsidR="00691D7D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e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 związan</w:t>
            </w:r>
            <w:r w:rsidR="00691D7D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e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 ze stosunkiem pracy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6BEBF9E" w14:textId="77777777" w:rsid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2EC9CFF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F3B053B" w14:textId="77777777" w:rsidR="00093C6A" w:rsidRPr="00093C6A" w:rsidRDefault="001F3947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287,10</w:t>
            </w:r>
          </w:p>
        </w:tc>
      </w:tr>
      <w:tr w:rsidR="00093C6A" w:rsidRPr="00093C6A" w14:paraId="238079C0" w14:textId="77777777" w:rsidTr="00691D7D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65C37F9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2.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1803CAFC" w14:textId="3EEF297B" w:rsidR="00093C6A" w:rsidRPr="00093C6A" w:rsidRDefault="00093C6A" w:rsidP="00691D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Lok</w:t>
            </w:r>
            <w:r w:rsidR="00691D7D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ale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 mieszkalne socjalne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648EDF51" w14:textId="77777777" w:rsid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581A01FD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78CB1F66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193,26</w:t>
            </w:r>
          </w:p>
        </w:tc>
      </w:tr>
      <w:tr w:rsidR="00093C6A" w:rsidRPr="00093C6A" w14:paraId="4A9AF48A" w14:textId="77777777" w:rsidTr="00691D7D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12CB919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3.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269D3BB4" w14:textId="0832FD60" w:rsidR="00093C6A" w:rsidRPr="00093C6A" w:rsidRDefault="00093C6A" w:rsidP="00691D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Lok</w:t>
            </w:r>
            <w:r w:rsidR="00691D7D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ale 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mieszkalne pozostałe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826CE" w14:textId="77777777" w:rsid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5927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FB837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627,15</w:t>
            </w:r>
          </w:p>
        </w:tc>
      </w:tr>
      <w:tr w:rsidR="00E31171" w:rsidRPr="00093C6A" w14:paraId="5AD38965" w14:textId="77777777" w:rsidTr="00EE4149">
        <w:trPr>
          <w:trHeight w:val="416"/>
        </w:trPr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35A434D0" w14:textId="5839202D" w:rsidR="00E31171" w:rsidRPr="00093C6A" w:rsidRDefault="00E31171" w:rsidP="00506C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RAZEM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14:paraId="778AF1DE" w14:textId="229433B1" w:rsidR="00E31171" w:rsidRDefault="00E31171" w:rsidP="00EE4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14:paraId="286DB77A" w14:textId="25841E13" w:rsidR="00E31171" w:rsidRDefault="00E31171" w:rsidP="00EE4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>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3F3F3F"/>
              <w:right w:val="single" w:sz="4" w:space="0" w:color="auto"/>
            </w:tcBorders>
            <w:shd w:val="clear" w:color="000000" w:fill="F2F2F2"/>
          </w:tcPr>
          <w:p w14:paraId="14249778" w14:textId="24C0277B" w:rsidR="00E31171" w:rsidRPr="00E31171" w:rsidRDefault="00E31171" w:rsidP="00EE41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lang w:eastAsia="pl-PL"/>
              </w:rPr>
              <w:t xml:space="preserve">1107,51 m </w:t>
            </w: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vertAlign w:val="superscript"/>
                <w:lang w:eastAsia="pl-PL"/>
              </w:rPr>
              <w:t>2</w:t>
            </w:r>
          </w:p>
        </w:tc>
      </w:tr>
    </w:tbl>
    <w:p w14:paraId="004AC761" w14:textId="77777777" w:rsidR="003E2E53" w:rsidRPr="00093C6A" w:rsidRDefault="003E2E53" w:rsidP="003E2E53">
      <w:pPr>
        <w:tabs>
          <w:tab w:val="left" w:pos="0"/>
        </w:tabs>
        <w:spacing w:after="0"/>
        <w:rPr>
          <w:rFonts w:ascii="Arial" w:hAnsi="Arial" w:cs="Arial"/>
          <w:sz w:val="4"/>
          <w:szCs w:val="20"/>
        </w:rPr>
      </w:pPr>
    </w:p>
    <w:p w14:paraId="4FCF85FD" w14:textId="77777777" w:rsidR="003E2E53" w:rsidRPr="00093C6A" w:rsidRDefault="00093C6A" w:rsidP="00093C6A">
      <w:pPr>
        <w:tabs>
          <w:tab w:val="left" w:pos="0"/>
        </w:tabs>
        <w:spacing w:after="0"/>
        <w:jc w:val="center"/>
        <w:rPr>
          <w:rFonts w:ascii="Arial" w:hAnsi="Arial" w:cs="Arial"/>
          <w:i/>
          <w:sz w:val="18"/>
          <w:szCs w:val="20"/>
        </w:rPr>
      </w:pPr>
      <w:r w:rsidRPr="00093C6A">
        <w:rPr>
          <w:rFonts w:ascii="Arial" w:hAnsi="Arial" w:cs="Arial"/>
          <w:i/>
          <w:sz w:val="18"/>
          <w:szCs w:val="20"/>
        </w:rPr>
        <w:t>Tabela nr 1- </w:t>
      </w:r>
      <w:r>
        <w:rPr>
          <w:rFonts w:ascii="Arial" w:hAnsi="Arial" w:cs="Arial"/>
          <w:i/>
          <w:sz w:val="18"/>
          <w:szCs w:val="20"/>
        </w:rPr>
        <w:t>Wielkość Mieszkaniowego Zasobu G</w:t>
      </w:r>
      <w:r w:rsidRPr="00093C6A">
        <w:rPr>
          <w:rFonts w:ascii="Arial" w:hAnsi="Arial" w:cs="Arial"/>
          <w:i/>
          <w:sz w:val="18"/>
          <w:szCs w:val="20"/>
        </w:rPr>
        <w:t xml:space="preserve">miny Dzierzążnia </w:t>
      </w:r>
    </w:p>
    <w:p w14:paraId="67542C20" w14:textId="1B2C529B" w:rsidR="00093C6A" w:rsidRDefault="00C66873" w:rsidP="00093C6A">
      <w:pP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EB5CE5A" wp14:editId="1433B2B1">
            <wp:simplePos x="0" y="0"/>
            <wp:positionH relativeFrom="column">
              <wp:posOffset>157480</wp:posOffset>
            </wp:positionH>
            <wp:positionV relativeFrom="paragraph">
              <wp:posOffset>185420</wp:posOffset>
            </wp:positionV>
            <wp:extent cx="5638800" cy="2771775"/>
            <wp:effectExtent l="0" t="0" r="0" b="0"/>
            <wp:wrapSquare wrapText="bothSides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2DC176" w14:textId="447D6F86" w:rsidR="00093C6A" w:rsidRPr="0004157D" w:rsidRDefault="00093C6A" w:rsidP="00093C6A">
      <w:pPr>
        <w:tabs>
          <w:tab w:val="left" w:pos="0"/>
        </w:tabs>
        <w:spacing w:after="0"/>
        <w:rPr>
          <w:rFonts w:ascii="Arial" w:hAnsi="Arial" w:cs="Arial"/>
          <w:i/>
          <w:sz w:val="4"/>
          <w:szCs w:val="20"/>
        </w:rPr>
      </w:pPr>
    </w:p>
    <w:p w14:paraId="5F18CD9E" w14:textId="6DCD6DEC" w:rsidR="00093C6A" w:rsidRPr="00093C6A" w:rsidRDefault="00093C6A" w:rsidP="00EE4149">
      <w:pPr>
        <w:tabs>
          <w:tab w:val="left" w:pos="0"/>
        </w:tabs>
        <w:spacing w:after="0"/>
        <w:jc w:val="center"/>
        <w:rPr>
          <w:rFonts w:ascii="Arial" w:hAnsi="Arial" w:cs="Arial"/>
          <w:i/>
          <w:sz w:val="18"/>
          <w:szCs w:val="20"/>
        </w:rPr>
      </w:pPr>
      <w:r w:rsidRPr="00093C6A">
        <w:rPr>
          <w:rFonts w:ascii="Arial" w:hAnsi="Arial" w:cs="Arial"/>
          <w:i/>
          <w:sz w:val="18"/>
          <w:szCs w:val="20"/>
        </w:rPr>
        <w:t xml:space="preserve">Wykres nr 1- Wielkość Mieszkaniowego Zasobu Gminy </w:t>
      </w:r>
      <w:r w:rsidR="004F0738" w:rsidRPr="00093C6A">
        <w:rPr>
          <w:rFonts w:ascii="Arial" w:hAnsi="Arial" w:cs="Arial"/>
          <w:i/>
          <w:sz w:val="18"/>
          <w:szCs w:val="20"/>
        </w:rPr>
        <w:t>Dzierzążnia</w:t>
      </w:r>
    </w:p>
    <w:p w14:paraId="55952181" w14:textId="77777777" w:rsidR="00093C6A" w:rsidRPr="00093C6A" w:rsidRDefault="00093C6A" w:rsidP="00093C6A">
      <w:pPr>
        <w:tabs>
          <w:tab w:val="left" w:pos="0"/>
        </w:tabs>
        <w:spacing w:after="0"/>
        <w:jc w:val="center"/>
        <w:rPr>
          <w:rFonts w:ascii="Arial" w:hAnsi="Arial" w:cs="Arial"/>
          <w:b/>
          <w:i/>
          <w:sz w:val="6"/>
          <w:szCs w:val="20"/>
        </w:rPr>
      </w:pPr>
    </w:p>
    <w:p w14:paraId="1C1DD84F" w14:textId="77777777" w:rsidR="00EE4149" w:rsidRDefault="00EE4149" w:rsidP="003E2E53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359E917C" w14:textId="77777777" w:rsidR="00C66873" w:rsidRDefault="00C66873" w:rsidP="003E2E53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30E7FED2" w14:textId="7344E8A9" w:rsidR="003E2E53" w:rsidRPr="003E2E53" w:rsidRDefault="00135D4F" w:rsidP="003E2E53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ogólną liczbę 24</w:t>
      </w:r>
      <w:r w:rsidR="003E2E53" w:rsidRPr="003E2E53">
        <w:rPr>
          <w:rFonts w:ascii="Arial" w:hAnsi="Arial" w:cs="Arial"/>
          <w:sz w:val="20"/>
          <w:szCs w:val="20"/>
        </w:rPr>
        <w:t xml:space="preserve"> lokali stanowiących mieszkaniowy zasób gminy składają się: </w:t>
      </w:r>
    </w:p>
    <w:p w14:paraId="4F279355" w14:textId="77777777" w:rsidR="003E2E53" w:rsidRPr="003E2E53" w:rsidRDefault="003E2E53" w:rsidP="003E2E53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2268"/>
        <w:gridCol w:w="708"/>
        <w:gridCol w:w="1701"/>
        <w:gridCol w:w="1985"/>
      </w:tblGrid>
      <w:tr w:rsidR="00093C6A" w:rsidRPr="00093C6A" w14:paraId="13FD05EE" w14:textId="77777777" w:rsidTr="00C66873">
        <w:trPr>
          <w:trHeight w:val="450"/>
        </w:trPr>
        <w:tc>
          <w:tcPr>
            <w:tcW w:w="562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3C4C03F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B3FE2C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Nazwa budynku</w:t>
            </w:r>
          </w:p>
        </w:tc>
        <w:tc>
          <w:tcPr>
            <w:tcW w:w="226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CEBEF4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A</w:t>
            </w: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dres</w:t>
            </w:r>
          </w:p>
        </w:tc>
        <w:tc>
          <w:tcPr>
            <w:tcW w:w="708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3246F106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Ilość lokali</w:t>
            </w:r>
          </w:p>
        </w:tc>
        <w:tc>
          <w:tcPr>
            <w:tcW w:w="170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6994D9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Powierzchnia użytkowa [ m</w:t>
            </w: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vertAlign w:val="superscript"/>
                <w:lang w:eastAsia="pl-PL"/>
              </w:rPr>
              <w:t>2</w:t>
            </w: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 xml:space="preserve"> ]</w:t>
            </w:r>
          </w:p>
        </w:tc>
        <w:tc>
          <w:tcPr>
            <w:tcW w:w="19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43897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Rodzaj budynku</w:t>
            </w:r>
          </w:p>
        </w:tc>
      </w:tr>
      <w:tr w:rsidR="00093C6A" w:rsidRPr="00093C6A" w14:paraId="222A234B" w14:textId="77777777" w:rsidTr="00C66873">
        <w:trPr>
          <w:trHeight w:val="450"/>
        </w:trPr>
        <w:tc>
          <w:tcPr>
            <w:tcW w:w="562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CD92651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19FEDB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„GOZ” Dzierzążnia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4F7005F6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Dzierzążnia 58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17A17ED8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298BDB18" w14:textId="77777777" w:rsidR="00093C6A" w:rsidRPr="00093C6A" w:rsidRDefault="001F3947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287,10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60EB27" w14:textId="2ABF736C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Lok</w:t>
            </w:r>
            <w:r w:rsidR="00691D7D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ale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mieszkaln</w:t>
            </w:r>
            <w:r w:rsidR="00691D7D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związan</w:t>
            </w:r>
            <w:r w:rsidR="00691D7D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br/>
              <w:t>ze stosunkiem pracy</w:t>
            </w:r>
          </w:p>
        </w:tc>
      </w:tr>
      <w:tr w:rsidR="00093C6A" w:rsidRPr="00093C6A" w14:paraId="7BA8C21C" w14:textId="77777777" w:rsidTr="00C66873">
        <w:trPr>
          <w:trHeight w:val="450"/>
        </w:trPr>
        <w:tc>
          <w:tcPr>
            <w:tcW w:w="562" w:type="dxa"/>
            <w:vMerge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14:paraId="4598ABEB" w14:textId="77777777" w:rsidR="00093C6A" w:rsidRPr="00093C6A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14:paraId="0D082EA4" w14:textId="77777777" w:rsidR="00093C6A" w:rsidRPr="00093C6A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14:paraId="0DF1FC02" w14:textId="77777777" w:rsidR="00093C6A" w:rsidRPr="00093C6A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14:paraId="175D9592" w14:textId="77777777" w:rsidR="00093C6A" w:rsidRPr="00093C6A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14:paraId="7C3FC865" w14:textId="77777777" w:rsidR="00093C6A" w:rsidRPr="00093C6A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35F7BA09" w14:textId="77777777" w:rsidR="00093C6A" w:rsidRPr="00C66873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</w:p>
        </w:tc>
      </w:tr>
      <w:tr w:rsidR="00093C6A" w:rsidRPr="00093C6A" w14:paraId="73F57D97" w14:textId="77777777" w:rsidTr="00C66873">
        <w:trPr>
          <w:trHeight w:val="584"/>
        </w:trPr>
        <w:tc>
          <w:tcPr>
            <w:tcW w:w="56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142B9A0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67C07061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„</w:t>
            </w:r>
            <w:proofErr w:type="spellStart"/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Drogomistrzówka</w:t>
            </w:r>
            <w:proofErr w:type="spellEnd"/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”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5CA42CC7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Dzierzążnia 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2156AB9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15012C1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193,26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4B08A" w14:textId="6DA77F2A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Lok</w:t>
            </w:r>
            <w:r w:rsidR="00EE4149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ale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mieszkalne socjalne</w:t>
            </w:r>
          </w:p>
        </w:tc>
      </w:tr>
      <w:tr w:rsidR="00093C6A" w:rsidRPr="00093C6A" w14:paraId="4096C80C" w14:textId="77777777" w:rsidTr="00C66873">
        <w:trPr>
          <w:trHeight w:val="564"/>
        </w:trPr>
        <w:tc>
          <w:tcPr>
            <w:tcW w:w="56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2BDFF36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3.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498A9A41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Budynek poszkolny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654C7A8A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Starczewo Wielkie 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4205F28C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7936CCB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583284" w14:textId="7F4D7AC5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Lok</w:t>
            </w:r>
            <w:r w:rsidR="00EE4149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ale 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mieszkalne pozostałe</w:t>
            </w:r>
          </w:p>
        </w:tc>
      </w:tr>
      <w:tr w:rsidR="00093C6A" w:rsidRPr="00093C6A" w14:paraId="75439B45" w14:textId="77777777" w:rsidTr="00C66873">
        <w:trPr>
          <w:trHeight w:val="543"/>
        </w:trPr>
        <w:tc>
          <w:tcPr>
            <w:tcW w:w="56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738542E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4.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5A63BFBA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„WOZ” Nowe Kucice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3FBF248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Nowe Kucice 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22E82BDA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3FE70C8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D7A78D" w14:textId="42487B61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Lok</w:t>
            </w:r>
            <w:r w:rsidR="00EE4149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ale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mieszkalne pozostałe</w:t>
            </w:r>
          </w:p>
        </w:tc>
      </w:tr>
      <w:tr w:rsidR="00093C6A" w:rsidRPr="00093C6A" w14:paraId="48B70911" w14:textId="77777777" w:rsidTr="00C66873">
        <w:trPr>
          <w:trHeight w:val="565"/>
        </w:trPr>
        <w:tc>
          <w:tcPr>
            <w:tcW w:w="562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3DA8981C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5.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07E02F56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Budynek poszkolny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3E849C7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proofErr w:type="spellStart"/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Cumino</w:t>
            </w:r>
            <w:proofErr w:type="spellEnd"/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 xml:space="preserve"> 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0073006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56E36FB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113,3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0D84E" w14:textId="3C97D920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Lok</w:t>
            </w:r>
            <w:r w:rsidR="00EE4149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ale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mieszkalne pozostałe</w:t>
            </w:r>
          </w:p>
        </w:tc>
      </w:tr>
      <w:tr w:rsidR="00093C6A" w:rsidRPr="00093C6A" w14:paraId="0AD6232E" w14:textId="77777777" w:rsidTr="00C66873">
        <w:trPr>
          <w:trHeight w:val="559"/>
        </w:trPr>
        <w:tc>
          <w:tcPr>
            <w:tcW w:w="562" w:type="dxa"/>
            <w:tcBorders>
              <w:top w:val="nil"/>
              <w:left w:val="single" w:sz="4" w:space="0" w:color="3F3F3F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30E3BE33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2C04690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Budynek poszkolny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403DAB06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Siekluki 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18D6E697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3F3F3F"/>
            </w:tcBorders>
            <w:shd w:val="clear" w:color="auto" w:fill="FFFFFF" w:themeFill="background1"/>
            <w:vAlign w:val="center"/>
            <w:hideMark/>
          </w:tcPr>
          <w:p w14:paraId="0758E76E" w14:textId="77777777" w:rsidR="00093C6A" w:rsidRPr="00093C6A" w:rsidRDefault="001F3947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2</w:t>
            </w:r>
            <w:r w:rsidR="00093C6A" w:rsidRPr="00093C6A"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96,85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31FC1" w14:textId="025743A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</w:pP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Lok</w:t>
            </w:r>
            <w:r w:rsidR="00EE4149"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>ale</w:t>
            </w:r>
            <w:r w:rsidRPr="00C66873">
              <w:rPr>
                <w:rFonts w:ascii="Arial" w:eastAsia="Times New Roman" w:hAnsi="Arial" w:cs="Arial"/>
                <w:b/>
                <w:color w:val="3F3F3F"/>
                <w:sz w:val="16"/>
                <w:szCs w:val="12"/>
                <w:lang w:eastAsia="pl-PL"/>
              </w:rPr>
              <w:t xml:space="preserve"> mieszkalne pozostałe</w:t>
            </w:r>
          </w:p>
        </w:tc>
      </w:tr>
      <w:tr w:rsidR="00E31171" w:rsidRPr="00093C6A" w14:paraId="205DBF85" w14:textId="77777777" w:rsidTr="00C66873">
        <w:trPr>
          <w:trHeight w:val="404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54105D1F" w14:textId="1F3FFFB7" w:rsidR="00E31171" w:rsidRPr="00093C6A" w:rsidRDefault="00E31171" w:rsidP="00C668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RAZEM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2D15E0F" w14:textId="77777777" w:rsidR="00E31171" w:rsidRPr="00093C6A" w:rsidRDefault="00E31171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0512193B" w14:textId="77777777" w:rsidR="00E31171" w:rsidRPr="00E31171" w:rsidRDefault="00E31171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  <w:t xml:space="preserve">1107,51 m </w:t>
            </w:r>
            <w:r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vertAlign w:val="superscript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center"/>
          </w:tcPr>
          <w:p w14:paraId="225E8D41" w14:textId="77777777" w:rsidR="00E31171" w:rsidRPr="00093C6A" w:rsidRDefault="00E31171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F3F3F"/>
                <w:sz w:val="20"/>
                <w:szCs w:val="16"/>
                <w:lang w:eastAsia="pl-PL"/>
              </w:rPr>
            </w:pPr>
          </w:p>
        </w:tc>
      </w:tr>
    </w:tbl>
    <w:p w14:paraId="4789210A" w14:textId="674698F5" w:rsidR="003E2E53" w:rsidRDefault="00093C6A" w:rsidP="00093C6A">
      <w:pPr>
        <w:tabs>
          <w:tab w:val="left" w:pos="0"/>
        </w:tabs>
        <w:spacing w:after="0"/>
        <w:jc w:val="center"/>
        <w:rPr>
          <w:rFonts w:ascii="Arial" w:hAnsi="Arial" w:cs="Arial"/>
          <w:i/>
          <w:sz w:val="18"/>
          <w:szCs w:val="20"/>
        </w:rPr>
      </w:pPr>
      <w:r w:rsidRPr="00093C6A">
        <w:rPr>
          <w:rFonts w:ascii="Arial" w:hAnsi="Arial" w:cs="Arial"/>
          <w:i/>
          <w:sz w:val="18"/>
          <w:szCs w:val="20"/>
        </w:rPr>
        <w:t>Tabela nr 2- </w:t>
      </w:r>
      <w:r>
        <w:rPr>
          <w:rFonts w:ascii="Arial" w:hAnsi="Arial" w:cs="Arial"/>
          <w:i/>
          <w:sz w:val="18"/>
          <w:szCs w:val="20"/>
        </w:rPr>
        <w:t>Zestawienie budynków będących w zasobie gminy</w:t>
      </w:r>
      <w:r w:rsidRPr="00093C6A">
        <w:rPr>
          <w:rFonts w:ascii="Arial" w:hAnsi="Arial" w:cs="Arial"/>
          <w:i/>
          <w:sz w:val="18"/>
          <w:szCs w:val="20"/>
        </w:rPr>
        <w:br w:type="textWrapping" w:clear="all"/>
      </w:r>
    </w:p>
    <w:p w14:paraId="1A66EF5C" w14:textId="77777777" w:rsidR="00EE4149" w:rsidRPr="00093C6A" w:rsidRDefault="00EE4149" w:rsidP="00093C6A">
      <w:pPr>
        <w:tabs>
          <w:tab w:val="left" w:pos="0"/>
        </w:tabs>
        <w:spacing w:after="0"/>
        <w:jc w:val="center"/>
        <w:rPr>
          <w:rFonts w:ascii="Arial" w:hAnsi="Arial" w:cs="Arial"/>
          <w:i/>
          <w:sz w:val="18"/>
          <w:szCs w:val="20"/>
        </w:rPr>
      </w:pPr>
    </w:p>
    <w:p w14:paraId="191A200B" w14:textId="77777777" w:rsidR="00093C6A" w:rsidRPr="00093C6A" w:rsidRDefault="00093C6A" w:rsidP="00093C6A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093C6A">
        <w:rPr>
          <w:rFonts w:ascii="Arial" w:hAnsi="Arial" w:cs="Arial"/>
          <w:b/>
          <w:sz w:val="20"/>
          <w:szCs w:val="20"/>
        </w:rPr>
        <w:t>§ 2.</w:t>
      </w:r>
    </w:p>
    <w:p w14:paraId="1A4C0829" w14:textId="77777777" w:rsidR="00093C6A" w:rsidRDefault="00093C6A" w:rsidP="00093C6A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Ocena stanu technicznego zasobu mieszkaniowego:</w:t>
      </w:r>
    </w:p>
    <w:p w14:paraId="7ED9D472" w14:textId="77777777" w:rsidR="00093C6A" w:rsidRDefault="00093C6A" w:rsidP="00093C6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Budynki, w których wynajmowane są lokale mieszkalne wykazują zróżnicowane stany techniczne</w:t>
      </w:r>
    </w:p>
    <w:p w14:paraId="05B80AC9" w14:textId="77777777" w:rsidR="00093C6A" w:rsidRDefault="00093C6A" w:rsidP="00093C6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najgorszym stanie technicznym znajdują się budynki powstałe w latach 1925-1930, na których najbardziej widać zużycie techniczne. Wymagają one najwięcej  nakładów finansowych </w:t>
      </w:r>
      <w:r>
        <w:rPr>
          <w:rFonts w:ascii="Arial" w:hAnsi="Arial" w:cs="Arial"/>
          <w:sz w:val="20"/>
          <w:szCs w:val="20"/>
        </w:rPr>
        <w:br/>
        <w:t xml:space="preserve">w celu konserwacji oraz wykonania  wszelkich niezbędnych napraw. </w:t>
      </w:r>
    </w:p>
    <w:p w14:paraId="00826DC2" w14:textId="77777777" w:rsidR="00093C6A" w:rsidRDefault="00093C6A" w:rsidP="00093C6A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większości budynków nieprawidłowości kształtują się w następujący sposób:</w:t>
      </w:r>
    </w:p>
    <w:p w14:paraId="26B94973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udrożnienie przewodów wentylacyjnych,</w:t>
      </w:r>
    </w:p>
    <w:p w14:paraId="2D438D6E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naprawa ubytków tynku</w:t>
      </w:r>
    </w:p>
    <w:p w14:paraId="13959356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naprawa elewacji frontowej</w:t>
      </w:r>
    </w:p>
    <w:p w14:paraId="6C420851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oczyszczenie i zabezpieczenie rur spustowych</w:t>
      </w:r>
    </w:p>
    <w:p w14:paraId="3C460B37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pokrycia dachowego</w:t>
      </w:r>
    </w:p>
    <w:p w14:paraId="662921E8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naprawa schodów </w:t>
      </w:r>
    </w:p>
    <w:p w14:paraId="5306B4D2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docieplenie ścian zewnętrznych</w:t>
      </w:r>
    </w:p>
    <w:p w14:paraId="4353B993" w14:textId="77777777" w:rsidR="00093C6A" w:rsidRDefault="00093C6A" w:rsidP="00093C6A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wymiana okien</w:t>
      </w:r>
    </w:p>
    <w:p w14:paraId="7E031BB5" w14:textId="77777777" w:rsidR="00093C6A" w:rsidRDefault="00093C6A" w:rsidP="00093C6A">
      <w:pPr>
        <w:spacing w:after="0" w:line="240" w:lineRule="auto"/>
        <w:ind w:left="349"/>
        <w:jc w:val="both"/>
        <w:rPr>
          <w:rFonts w:ascii="Arial" w:hAnsi="Arial" w:cs="Arial"/>
          <w:sz w:val="20"/>
          <w:szCs w:val="20"/>
        </w:rPr>
      </w:pPr>
    </w:p>
    <w:p w14:paraId="584AF0C1" w14:textId="77777777" w:rsidR="00093C6A" w:rsidRDefault="00093C6A" w:rsidP="00093C6A">
      <w:pPr>
        <w:spacing w:after="0" w:line="276" w:lineRule="auto"/>
        <w:ind w:firstLine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Zalecenia dotyczące budynków stanowiących mieszkaniowy zasób gminy zależne </w:t>
      </w:r>
      <w:r>
        <w:rPr>
          <w:rFonts w:ascii="Arial" w:hAnsi="Arial" w:cs="Arial"/>
          <w:sz w:val="20"/>
          <w:szCs w:val="20"/>
        </w:rPr>
        <w:br/>
        <w:t xml:space="preserve">są od wykonywanej corocznej kontroli, polegającej na sprawdzeniu stanu technicznego wszystkich budynków- zgodnie z art. 62 ustawy z dnia 7 lipca 1994 r. (Dz. U. z 2020 r. poz. 1333). Taką kontrolę zleca właściciel lub zarządca budynku osobie do tego uprawnionej. </w:t>
      </w:r>
    </w:p>
    <w:p w14:paraId="4E02FBA5" w14:textId="77777777" w:rsidR="00093C6A" w:rsidRDefault="00093C6A" w:rsidP="00093C6A">
      <w:pPr>
        <w:spacing w:after="0" w:line="276" w:lineRule="auto"/>
        <w:ind w:firstLine="349"/>
        <w:jc w:val="both"/>
        <w:rPr>
          <w:rFonts w:ascii="Arial" w:hAnsi="Arial" w:cs="Arial"/>
          <w:sz w:val="20"/>
          <w:szCs w:val="20"/>
        </w:rPr>
      </w:pPr>
    </w:p>
    <w:p w14:paraId="637CD97B" w14:textId="77777777" w:rsidR="00093C6A" w:rsidRDefault="00093C6A" w:rsidP="00093C6A">
      <w:pPr>
        <w:spacing w:after="0" w:line="276" w:lineRule="auto"/>
        <w:ind w:firstLine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Prace w budynkach mieszkalnych obejmują w pierwszej kolejności prace pilne dotyczące bieżących potrzeb w celu usunięcia zagrożeń użytkowników lokali, napraw instalacji elektrycznych, grzewczych, kominowych, wentylacyjnych itp. oraz niezbędnych napraw dachów i innych prac niezbędnych </w:t>
      </w:r>
      <w:r>
        <w:rPr>
          <w:rFonts w:ascii="Arial" w:hAnsi="Arial" w:cs="Arial"/>
          <w:sz w:val="20"/>
          <w:szCs w:val="20"/>
        </w:rPr>
        <w:br/>
        <w:t xml:space="preserve">dla danych budynków mieszkalnych. </w:t>
      </w:r>
    </w:p>
    <w:p w14:paraId="47B03D24" w14:textId="6B7B0FD7" w:rsidR="00093C6A" w:rsidRDefault="00093C6A" w:rsidP="00093C6A">
      <w:pPr>
        <w:spacing w:after="0" w:line="276" w:lineRule="auto"/>
        <w:ind w:firstLine="349"/>
        <w:jc w:val="both"/>
        <w:rPr>
          <w:rFonts w:ascii="Arial" w:hAnsi="Arial" w:cs="Arial"/>
          <w:sz w:val="20"/>
          <w:szCs w:val="20"/>
        </w:rPr>
      </w:pPr>
    </w:p>
    <w:p w14:paraId="6B1BA6CF" w14:textId="1EDB4F35" w:rsidR="00C66873" w:rsidRDefault="00C66873" w:rsidP="00093C6A">
      <w:pPr>
        <w:spacing w:after="0" w:line="276" w:lineRule="auto"/>
        <w:ind w:firstLine="349"/>
        <w:jc w:val="both"/>
        <w:rPr>
          <w:rFonts w:ascii="Arial" w:hAnsi="Arial" w:cs="Arial"/>
          <w:sz w:val="20"/>
          <w:szCs w:val="20"/>
        </w:rPr>
      </w:pPr>
    </w:p>
    <w:p w14:paraId="5E7A6F68" w14:textId="77777777" w:rsidR="00C66873" w:rsidRDefault="00C66873" w:rsidP="00093C6A">
      <w:pPr>
        <w:spacing w:after="0" w:line="276" w:lineRule="auto"/>
        <w:ind w:firstLine="349"/>
        <w:jc w:val="both"/>
        <w:rPr>
          <w:rFonts w:ascii="Arial" w:hAnsi="Arial" w:cs="Arial"/>
          <w:sz w:val="20"/>
          <w:szCs w:val="20"/>
        </w:rPr>
      </w:pPr>
    </w:p>
    <w:p w14:paraId="73E058CF" w14:textId="77777777" w:rsidR="00093C6A" w:rsidRDefault="00093C6A" w:rsidP="00093C6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832"/>
        <w:gridCol w:w="1134"/>
        <w:gridCol w:w="993"/>
        <w:gridCol w:w="1417"/>
        <w:gridCol w:w="1985"/>
        <w:gridCol w:w="564"/>
        <w:gridCol w:w="1137"/>
      </w:tblGrid>
      <w:tr w:rsidR="00093C6A" w:rsidRPr="00093C6A" w14:paraId="4D03271C" w14:textId="77777777" w:rsidTr="00EE4149">
        <w:trPr>
          <w:trHeight w:val="600"/>
        </w:trPr>
        <w:tc>
          <w:tcPr>
            <w:tcW w:w="43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0BBFC9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lastRenderedPageBreak/>
              <w:t xml:space="preserve">Lp. </w:t>
            </w:r>
          </w:p>
        </w:tc>
        <w:tc>
          <w:tcPr>
            <w:tcW w:w="183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46D58B83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Budynek</w:t>
            </w:r>
          </w:p>
        </w:tc>
        <w:tc>
          <w:tcPr>
            <w:tcW w:w="113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95600F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Nr działki</w:t>
            </w:r>
          </w:p>
        </w:tc>
        <w:tc>
          <w:tcPr>
            <w:tcW w:w="993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436F3FD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Rok budowy</w:t>
            </w:r>
          </w:p>
        </w:tc>
        <w:tc>
          <w:tcPr>
            <w:tcW w:w="1417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DF12BF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Księga Wieczysta</w:t>
            </w:r>
          </w:p>
        </w:tc>
        <w:tc>
          <w:tcPr>
            <w:tcW w:w="1985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482F9AA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Wyposażenie techniczne</w:t>
            </w:r>
          </w:p>
        </w:tc>
        <w:tc>
          <w:tcPr>
            <w:tcW w:w="56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4D24A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WC</w:t>
            </w:r>
          </w:p>
        </w:tc>
        <w:tc>
          <w:tcPr>
            <w:tcW w:w="1137" w:type="dxa"/>
            <w:tcBorders>
              <w:top w:val="single" w:sz="4" w:space="0" w:color="3F3F3F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5B83092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Stan techniczny</w:t>
            </w:r>
          </w:p>
        </w:tc>
      </w:tr>
      <w:tr w:rsidR="00093C6A" w:rsidRPr="00093C6A" w14:paraId="4906E9DE" w14:textId="77777777" w:rsidTr="00EE4149">
        <w:trPr>
          <w:trHeight w:val="660"/>
        </w:trPr>
        <w:tc>
          <w:tcPr>
            <w:tcW w:w="43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D00466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E98854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" GOZ" Dzierzążnia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C3CC0D1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86/1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 xml:space="preserve">, 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br/>
              <w:t>obręb 0006 Dzierzążnia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61BDE03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ok. 1950 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4C4FE3CA" w14:textId="77777777" w:rsidR="00093C6A" w:rsidRPr="00EE4149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</w:pPr>
            <w:r w:rsidRPr="00EE4149"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  <w:t>PL1L/00017647/0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2FE2AA9B" w14:textId="7777777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C66873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 xml:space="preserve">instalacja wodna, instalacja elektryczna, ogrzewanie gazowe,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5B7B73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tak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13FC16E4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użyteczny</w:t>
            </w:r>
          </w:p>
        </w:tc>
      </w:tr>
      <w:tr w:rsidR="00093C6A" w:rsidRPr="00093C6A" w14:paraId="5387DFD0" w14:textId="77777777" w:rsidTr="00BC2678">
        <w:trPr>
          <w:trHeight w:val="570"/>
        </w:trPr>
        <w:tc>
          <w:tcPr>
            <w:tcW w:w="43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2946B69A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8D7FA5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"</w:t>
            </w:r>
            <w:proofErr w:type="spellStart"/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Drogomistrzówka</w:t>
            </w:r>
            <w:proofErr w:type="spellEnd"/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30AB2DD3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254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 xml:space="preserve">, 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br/>
              <w:t>obręb 0006 Dzierzążnia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3209D22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ok. 1930 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3DD07F48" w14:textId="77777777" w:rsidR="00093C6A" w:rsidRPr="00EE4149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</w:pPr>
            <w:r w:rsidRPr="00EE4149"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  <w:t>PL1L/00017647/0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2AFC7D3" w14:textId="7777777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C66873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instalacja wodna, instalacja elektryczna, ogrzewanie indywidualne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C9194E3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nie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68099AE3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użyteczny</w:t>
            </w:r>
          </w:p>
        </w:tc>
      </w:tr>
      <w:tr w:rsidR="00093C6A" w:rsidRPr="00093C6A" w14:paraId="25B1B153" w14:textId="77777777" w:rsidTr="00BC2678">
        <w:trPr>
          <w:trHeight w:val="791"/>
        </w:trPr>
        <w:tc>
          <w:tcPr>
            <w:tcW w:w="43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EA2173D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4B624F7C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 xml:space="preserve">Starczewo Wielkie- budynek poszkolny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590171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15/3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 xml:space="preserve">, 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br/>
              <w:t>obręb 0027 Starczewo Wielkie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3D2E5C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ok. 1970 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CC52ED9" w14:textId="77777777" w:rsidR="00093C6A" w:rsidRPr="00EE4149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</w:pPr>
            <w:r w:rsidRPr="00EE4149"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  <w:t>PL1L/00002897/9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3A31FD7" w14:textId="7777777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C66873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instalacja wodna, instalacja elektryczna, ogrzewanie indywidualne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40928E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tak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1E7265A2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użyteczny</w:t>
            </w:r>
          </w:p>
        </w:tc>
      </w:tr>
      <w:tr w:rsidR="00093C6A" w:rsidRPr="00093C6A" w14:paraId="57E4C2B9" w14:textId="77777777" w:rsidTr="00EE4149">
        <w:trPr>
          <w:trHeight w:val="877"/>
        </w:trPr>
        <w:tc>
          <w:tcPr>
            <w:tcW w:w="43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2CEC7CD8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77E2D1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"WOZ" Nowe Kucice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E944477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169/3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, obręb 0014 Nowe Kucice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691347C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ok. 1970 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23B62A4A" w14:textId="77777777" w:rsidR="00093C6A" w:rsidRPr="00EE4149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</w:pPr>
            <w:r w:rsidRPr="00EE4149"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  <w:t>PL1L/00006333/6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E810FCF" w14:textId="7777777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C66873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instalacja wodna, instalacja elektryczna, ogrzewanie olejem opałowym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48312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tak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64923414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użyteczny</w:t>
            </w:r>
          </w:p>
        </w:tc>
      </w:tr>
      <w:tr w:rsidR="00093C6A" w:rsidRPr="00093C6A" w14:paraId="61E77A62" w14:textId="77777777" w:rsidTr="00BC2678">
        <w:trPr>
          <w:trHeight w:val="617"/>
        </w:trPr>
        <w:tc>
          <w:tcPr>
            <w:tcW w:w="43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7E0F1CC7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5.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24CFFBE0" w14:textId="4F3D9249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proofErr w:type="spellStart"/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Cumino</w:t>
            </w:r>
            <w:proofErr w:type="spellEnd"/>
            <w:r w:rsidR="00BC2678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 xml:space="preserve"> 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 xml:space="preserve">- budynek poszkolny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9FE845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12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 xml:space="preserve">, 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br/>
              <w:t xml:space="preserve">obręb 0005 </w:t>
            </w:r>
            <w:proofErr w:type="spellStart"/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Cumino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1427A76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ok. 1925 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04E74FC" w14:textId="77777777" w:rsidR="00093C6A" w:rsidRPr="00EE4149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</w:pPr>
            <w:r w:rsidRPr="00EE4149"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  <w:t>PL1L/00005872/9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6CEABB77" w14:textId="7777777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C66873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instalacja wodna, instalacja elektryczna, ogrzewanie indywidualne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26AED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tak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5B0ECD51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użyteczny</w:t>
            </w:r>
          </w:p>
        </w:tc>
      </w:tr>
      <w:tr w:rsidR="00093C6A" w:rsidRPr="00093C6A" w14:paraId="17C210C4" w14:textId="77777777" w:rsidTr="00BC2678">
        <w:trPr>
          <w:trHeight w:val="556"/>
        </w:trPr>
        <w:tc>
          <w:tcPr>
            <w:tcW w:w="436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084EF94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6.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8BD5C4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Siekluki- budynek poszkolny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7388E614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18"/>
                <w:szCs w:val="20"/>
                <w:lang w:eastAsia="pl-PL"/>
              </w:rPr>
              <w:t>64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 xml:space="preserve">, </w:t>
            </w: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br/>
              <w:t>obręb 0025 Siekluki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65EF7D82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093C6A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ok. 1930 r.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2FAEC1F7" w14:textId="77777777" w:rsidR="00093C6A" w:rsidRPr="00EE4149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</w:pPr>
            <w:r w:rsidRPr="00EE4149">
              <w:rPr>
                <w:rFonts w:ascii="Arial" w:eastAsia="Times New Roman" w:hAnsi="Arial" w:cs="Arial"/>
                <w:bCs/>
                <w:color w:val="3F3F3F"/>
                <w:sz w:val="16"/>
                <w:szCs w:val="18"/>
                <w:lang w:eastAsia="pl-PL"/>
              </w:rPr>
              <w:t>PL1L/00006045/0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E53DD1F" w14:textId="77777777" w:rsidR="00093C6A" w:rsidRPr="00C66873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 w:rsidRPr="00C66873"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instalacja wodna, instalacja elektryczna, ogrzewanie indywidualne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3F3F3F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256D78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tak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</w:tcPr>
          <w:p w14:paraId="68978479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3F3F3F"/>
                <w:sz w:val="18"/>
                <w:szCs w:val="20"/>
                <w:lang w:eastAsia="pl-PL"/>
              </w:rPr>
              <w:t>użyteczny</w:t>
            </w:r>
          </w:p>
        </w:tc>
      </w:tr>
    </w:tbl>
    <w:p w14:paraId="0B09FDE2" w14:textId="71F00056" w:rsidR="00093C6A" w:rsidRDefault="00093C6A" w:rsidP="00093C6A">
      <w:pPr>
        <w:spacing w:after="0" w:line="240" w:lineRule="auto"/>
        <w:jc w:val="center"/>
        <w:rPr>
          <w:rFonts w:ascii="Arial" w:hAnsi="Arial" w:cs="Arial"/>
          <w:i/>
          <w:sz w:val="18"/>
          <w:szCs w:val="20"/>
        </w:rPr>
      </w:pPr>
      <w:r w:rsidRPr="00093C6A">
        <w:rPr>
          <w:rFonts w:ascii="Arial" w:hAnsi="Arial" w:cs="Arial"/>
          <w:i/>
          <w:sz w:val="18"/>
          <w:szCs w:val="20"/>
        </w:rPr>
        <w:t>Tabela nr 3</w:t>
      </w:r>
      <w:r w:rsidR="00BC2678">
        <w:rPr>
          <w:rFonts w:ascii="Arial" w:hAnsi="Arial" w:cs="Arial"/>
          <w:i/>
          <w:sz w:val="18"/>
          <w:szCs w:val="20"/>
        </w:rPr>
        <w:t xml:space="preserve"> </w:t>
      </w:r>
      <w:r w:rsidRPr="00093C6A">
        <w:rPr>
          <w:rFonts w:ascii="Arial" w:hAnsi="Arial" w:cs="Arial"/>
          <w:i/>
          <w:sz w:val="18"/>
          <w:szCs w:val="20"/>
        </w:rPr>
        <w:t xml:space="preserve">- </w:t>
      </w:r>
      <w:r w:rsidR="00BC2678">
        <w:rPr>
          <w:rFonts w:ascii="Arial" w:hAnsi="Arial" w:cs="Arial"/>
          <w:i/>
          <w:sz w:val="18"/>
          <w:szCs w:val="20"/>
        </w:rPr>
        <w:t>I</w:t>
      </w:r>
      <w:r w:rsidRPr="00093C6A">
        <w:rPr>
          <w:rFonts w:ascii="Arial" w:hAnsi="Arial" w:cs="Arial"/>
          <w:i/>
          <w:sz w:val="18"/>
          <w:szCs w:val="20"/>
        </w:rPr>
        <w:t>nformacja o budynkach stanowiących mieszkaniowy zasób gminy</w:t>
      </w:r>
    </w:p>
    <w:p w14:paraId="1F49C64D" w14:textId="77777777" w:rsidR="00BC2678" w:rsidRPr="00C66873" w:rsidRDefault="00BC2678" w:rsidP="00093C6A">
      <w:pPr>
        <w:spacing w:after="0" w:line="240" w:lineRule="auto"/>
        <w:jc w:val="center"/>
        <w:rPr>
          <w:rFonts w:ascii="Arial" w:hAnsi="Arial" w:cs="Arial"/>
          <w:i/>
          <w:sz w:val="2"/>
          <w:szCs w:val="4"/>
        </w:rPr>
      </w:pPr>
    </w:p>
    <w:p w14:paraId="195D6FF1" w14:textId="77777777" w:rsidR="00093C6A" w:rsidRDefault="00093C6A" w:rsidP="00093C6A">
      <w:pPr>
        <w:spacing w:after="0" w:line="240" w:lineRule="auto"/>
        <w:rPr>
          <w:rFonts w:ascii="Arial" w:hAnsi="Arial" w:cs="Arial"/>
          <w:i/>
          <w:sz w:val="18"/>
          <w:szCs w:val="20"/>
        </w:rPr>
      </w:pPr>
    </w:p>
    <w:p w14:paraId="006BC3B4" w14:textId="7A840D07" w:rsidR="00093C6A" w:rsidRPr="00BC2678" w:rsidRDefault="00093C6A" w:rsidP="00BC2678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Wyposażenie budynków i lokali należących do zasobów gminy:</w:t>
      </w:r>
    </w:p>
    <w:tbl>
      <w:tblPr>
        <w:tblpPr w:leftFromText="141" w:rightFromText="141" w:vertAnchor="text" w:horzAnchor="margin" w:tblpY="14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3680"/>
        <w:gridCol w:w="1933"/>
      </w:tblGrid>
      <w:tr w:rsidR="00093C6A" w:rsidRPr="00093C6A" w14:paraId="2B0D6916" w14:textId="77777777" w:rsidTr="00093C6A">
        <w:trPr>
          <w:trHeight w:val="570"/>
        </w:trPr>
        <w:tc>
          <w:tcPr>
            <w:tcW w:w="388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hideMark/>
          </w:tcPr>
          <w:p w14:paraId="413F7747" w14:textId="77777777" w:rsid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</w:p>
          <w:p w14:paraId="3ACFC30D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Nazwa urządzenia technicznego</w:t>
            </w:r>
          </w:p>
        </w:tc>
        <w:tc>
          <w:tcPr>
            <w:tcW w:w="5613" w:type="dxa"/>
            <w:gridSpan w:val="2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4F7A8A03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 xml:space="preserve">Lokale w budynkach stanowiących mieszkaniowy zasób gminy </w:t>
            </w:r>
          </w:p>
        </w:tc>
      </w:tr>
      <w:tr w:rsidR="00093C6A" w:rsidRPr="00093C6A" w14:paraId="4DAC0238" w14:textId="77777777" w:rsidTr="00093C6A">
        <w:trPr>
          <w:trHeight w:val="300"/>
        </w:trPr>
        <w:tc>
          <w:tcPr>
            <w:tcW w:w="388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vAlign w:val="center"/>
            <w:hideMark/>
          </w:tcPr>
          <w:p w14:paraId="3C853C39" w14:textId="77777777" w:rsidR="00093C6A" w:rsidRPr="00093C6A" w:rsidRDefault="00093C6A" w:rsidP="00093C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E641845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I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lość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103E66F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Wskaź</w:t>
            </w: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nik %</w:t>
            </w:r>
          </w:p>
        </w:tc>
      </w:tr>
      <w:tr w:rsidR="00093C6A" w:rsidRPr="00093C6A" w14:paraId="4D8653DF" w14:textId="77777777" w:rsidTr="00093C6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ADE0CA3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instalacja wodna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1397B171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24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3D7F08ED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100%</w:t>
            </w:r>
          </w:p>
        </w:tc>
      </w:tr>
      <w:tr w:rsidR="00093C6A" w:rsidRPr="00093C6A" w14:paraId="77F37244" w14:textId="77777777" w:rsidTr="00093C6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354C81C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instalacja elektryczna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31C95F9" w14:textId="77777777" w:rsidR="00093C6A" w:rsidRPr="00093C6A" w:rsidRDefault="00135D4F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24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AB25F01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100%</w:t>
            </w:r>
          </w:p>
        </w:tc>
      </w:tr>
      <w:tr w:rsidR="00093C6A" w:rsidRPr="00093C6A" w14:paraId="0E6E36C3" w14:textId="77777777" w:rsidTr="00093C6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17390CA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centralne ogrzewanie z sieci gazowej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9867969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5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16EC9DC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21,7%</w:t>
            </w:r>
          </w:p>
        </w:tc>
      </w:tr>
      <w:tr w:rsidR="00093C6A" w:rsidRPr="00093C6A" w14:paraId="3BF549D2" w14:textId="77777777" w:rsidTr="00093C6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35378B4A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ogrzewanie olejem opałowym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EE7756B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0090540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8,7%</w:t>
            </w:r>
          </w:p>
        </w:tc>
      </w:tr>
      <w:tr w:rsidR="00093C6A" w:rsidRPr="00093C6A" w14:paraId="348E9653" w14:textId="77777777" w:rsidTr="00093C6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4C1DC1A0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ogrzewanie piecowe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C99EF3E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16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287BE861" w14:textId="77777777" w:rsidR="00093C6A" w:rsidRPr="00093C6A" w:rsidRDefault="00093C6A" w:rsidP="00093C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</w:pPr>
            <w:r w:rsidRPr="00093C6A">
              <w:rPr>
                <w:rFonts w:ascii="Arial" w:eastAsia="Times New Roman" w:hAnsi="Arial" w:cs="Arial"/>
                <w:b/>
                <w:bCs/>
                <w:color w:val="3F3F3F"/>
                <w:sz w:val="20"/>
                <w:szCs w:val="18"/>
                <w:lang w:eastAsia="pl-PL"/>
              </w:rPr>
              <w:t>69,6%</w:t>
            </w:r>
          </w:p>
        </w:tc>
      </w:tr>
    </w:tbl>
    <w:p w14:paraId="5D29B3C2" w14:textId="77777777" w:rsidR="00093C6A" w:rsidRPr="00093C6A" w:rsidRDefault="00093C6A" w:rsidP="00093C6A">
      <w:pPr>
        <w:spacing w:after="0" w:line="240" w:lineRule="auto"/>
        <w:rPr>
          <w:rFonts w:ascii="Arial" w:hAnsi="Arial" w:cs="Arial"/>
          <w:sz w:val="4"/>
          <w:szCs w:val="20"/>
        </w:rPr>
      </w:pPr>
    </w:p>
    <w:p w14:paraId="23E20FDE" w14:textId="77777777" w:rsidR="00093C6A" w:rsidRDefault="00093C6A" w:rsidP="00093C6A">
      <w:pPr>
        <w:spacing w:after="0" w:line="240" w:lineRule="auto"/>
        <w:jc w:val="center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Tabela nr 4</w:t>
      </w:r>
      <w:r w:rsidRPr="00093C6A">
        <w:rPr>
          <w:rFonts w:ascii="Arial" w:hAnsi="Arial" w:cs="Arial"/>
          <w:i/>
          <w:sz w:val="18"/>
          <w:szCs w:val="20"/>
        </w:rPr>
        <w:t xml:space="preserve">- </w:t>
      </w:r>
      <w:r>
        <w:rPr>
          <w:rFonts w:ascii="Arial" w:hAnsi="Arial" w:cs="Arial"/>
          <w:i/>
          <w:sz w:val="18"/>
          <w:szCs w:val="20"/>
        </w:rPr>
        <w:t>wyposażenie lokali należących do zasobu gminy</w:t>
      </w:r>
    </w:p>
    <w:p w14:paraId="5CB2126A" w14:textId="77777777" w:rsidR="00093C6A" w:rsidRPr="00C66873" w:rsidRDefault="00093C6A" w:rsidP="00093C6A">
      <w:pPr>
        <w:rPr>
          <w:rFonts w:ascii="Arial" w:hAnsi="Arial" w:cs="Arial"/>
          <w:sz w:val="2"/>
          <w:szCs w:val="4"/>
        </w:rPr>
      </w:pPr>
    </w:p>
    <w:p w14:paraId="658C9600" w14:textId="6C49308B" w:rsidR="00093C6A" w:rsidRDefault="00093C6A" w:rsidP="00093C6A">
      <w:pPr>
        <w:tabs>
          <w:tab w:val="left" w:pos="1005"/>
        </w:tabs>
        <w:rPr>
          <w:rFonts w:ascii="Arial" w:hAnsi="Arial" w:cs="Arial"/>
          <w:sz w:val="18"/>
          <w:szCs w:val="20"/>
        </w:rPr>
      </w:pPr>
      <w:r>
        <w:rPr>
          <w:noProof/>
          <w:lang w:eastAsia="pl-PL"/>
        </w:rPr>
        <w:drawing>
          <wp:inline distT="0" distB="0" distL="0" distR="0" wp14:anchorId="16989AEF" wp14:editId="51070130">
            <wp:extent cx="5810250" cy="2667000"/>
            <wp:effectExtent l="0" t="0" r="0" b="0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D637DC0" w14:textId="77777777" w:rsidR="00093C6A" w:rsidRPr="00093C6A" w:rsidRDefault="00093C6A" w:rsidP="00093C6A">
      <w:pPr>
        <w:tabs>
          <w:tab w:val="left" w:pos="0"/>
        </w:tabs>
        <w:spacing w:after="0"/>
        <w:jc w:val="center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i/>
          <w:sz w:val="18"/>
          <w:szCs w:val="20"/>
        </w:rPr>
        <w:t>Wykres nr 2</w:t>
      </w:r>
      <w:r w:rsidRPr="00093C6A">
        <w:rPr>
          <w:rFonts w:ascii="Arial" w:hAnsi="Arial" w:cs="Arial"/>
          <w:i/>
          <w:sz w:val="18"/>
          <w:szCs w:val="20"/>
        </w:rPr>
        <w:t xml:space="preserve">- </w:t>
      </w:r>
      <w:r>
        <w:rPr>
          <w:rFonts w:ascii="Arial" w:hAnsi="Arial" w:cs="Arial"/>
          <w:i/>
          <w:sz w:val="18"/>
          <w:szCs w:val="20"/>
        </w:rPr>
        <w:t>Wyposażenie techniczne lokali należących do zasobów gminy</w:t>
      </w:r>
    </w:p>
    <w:p w14:paraId="4CDC2357" w14:textId="77777777" w:rsidR="00093C6A" w:rsidRDefault="00093C6A" w:rsidP="00093C6A">
      <w:pPr>
        <w:tabs>
          <w:tab w:val="left" w:pos="1590"/>
        </w:tabs>
        <w:rPr>
          <w:rFonts w:ascii="Arial" w:hAnsi="Arial" w:cs="Arial"/>
          <w:b/>
          <w:sz w:val="20"/>
          <w:szCs w:val="20"/>
        </w:rPr>
      </w:pPr>
    </w:p>
    <w:p w14:paraId="34448C5C" w14:textId="77777777" w:rsidR="00093C6A" w:rsidRPr="00093C6A" w:rsidRDefault="00093C6A" w:rsidP="00093C6A">
      <w:pPr>
        <w:tabs>
          <w:tab w:val="left" w:pos="1590"/>
        </w:tabs>
        <w:spacing w:after="0"/>
        <w:rPr>
          <w:rFonts w:ascii="Arial" w:hAnsi="Arial" w:cs="Arial"/>
          <w:sz w:val="20"/>
          <w:szCs w:val="20"/>
        </w:rPr>
      </w:pPr>
      <w:r w:rsidRPr="00093C6A">
        <w:rPr>
          <w:rFonts w:ascii="Arial" w:hAnsi="Arial" w:cs="Arial"/>
          <w:b/>
          <w:sz w:val="20"/>
          <w:szCs w:val="20"/>
        </w:rPr>
        <w:lastRenderedPageBreak/>
        <w:t>§ 3</w:t>
      </w:r>
      <w:r>
        <w:rPr>
          <w:rFonts w:ascii="Arial" w:hAnsi="Arial" w:cs="Arial"/>
          <w:b/>
          <w:sz w:val="20"/>
          <w:szCs w:val="20"/>
        </w:rPr>
        <w:t>.</w:t>
      </w:r>
    </w:p>
    <w:p w14:paraId="44C97166" w14:textId="77777777" w:rsidR="00093C6A" w:rsidRDefault="00093C6A" w:rsidP="00093C6A">
      <w:pPr>
        <w:tabs>
          <w:tab w:val="left" w:pos="1590"/>
        </w:tabs>
        <w:spacing w:after="0"/>
        <w:rPr>
          <w:rFonts w:ascii="Arial" w:hAnsi="Arial" w:cs="Arial"/>
          <w:sz w:val="20"/>
          <w:szCs w:val="20"/>
        </w:rPr>
      </w:pPr>
      <w:r w:rsidRPr="00093C6A">
        <w:rPr>
          <w:rFonts w:ascii="Arial" w:hAnsi="Arial" w:cs="Arial"/>
          <w:sz w:val="20"/>
          <w:szCs w:val="20"/>
        </w:rPr>
        <w:t>Prognoza wielkości zasobu m</w:t>
      </w:r>
      <w:r w:rsidR="001F3947">
        <w:rPr>
          <w:rFonts w:ascii="Arial" w:hAnsi="Arial" w:cs="Arial"/>
          <w:sz w:val="20"/>
          <w:szCs w:val="20"/>
        </w:rPr>
        <w:t>ieszkaniowego gminy na lata 2022-2026</w:t>
      </w:r>
      <w:r>
        <w:rPr>
          <w:rFonts w:ascii="Arial" w:hAnsi="Arial" w:cs="Arial"/>
          <w:sz w:val="20"/>
          <w:szCs w:val="20"/>
        </w:rPr>
        <w:t>:</w:t>
      </w:r>
    </w:p>
    <w:p w14:paraId="7F1036EF" w14:textId="77777777" w:rsidR="00093C6A" w:rsidRDefault="001F3947" w:rsidP="00093C6A">
      <w:pPr>
        <w:tabs>
          <w:tab w:val="left" w:pos="1590"/>
        </w:tabs>
        <w:spacing w:after="0"/>
        <w:rPr>
          <w:rFonts w:ascii="Arial" w:hAnsi="Arial" w:cs="Arial"/>
          <w:sz w:val="20"/>
          <w:szCs w:val="20"/>
        </w:rPr>
      </w:pPr>
      <w:r w:rsidRPr="001F3947">
        <w:rPr>
          <w:rFonts w:ascii="Arial" w:hAnsi="Arial" w:cs="Arial"/>
          <w:noProof/>
          <w:lang w:eastAsia="pl-PL"/>
        </w:rPr>
        <w:drawing>
          <wp:inline distT="0" distB="0" distL="0" distR="0" wp14:anchorId="7CA25BD7" wp14:editId="77682716">
            <wp:extent cx="5572125" cy="2552700"/>
            <wp:effectExtent l="0" t="0" r="9525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F9C1A66" w14:textId="77777777" w:rsidR="00093C6A" w:rsidRDefault="00093C6A" w:rsidP="00093C6A">
      <w:pPr>
        <w:jc w:val="center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Wykres nr 3</w:t>
      </w:r>
      <w:r w:rsidRPr="00093C6A">
        <w:rPr>
          <w:rFonts w:ascii="Arial" w:hAnsi="Arial" w:cs="Arial"/>
          <w:i/>
          <w:sz w:val="18"/>
          <w:szCs w:val="20"/>
        </w:rPr>
        <w:t xml:space="preserve">- </w:t>
      </w:r>
      <w:r>
        <w:rPr>
          <w:rFonts w:ascii="Arial" w:hAnsi="Arial" w:cs="Arial"/>
          <w:i/>
          <w:sz w:val="18"/>
          <w:szCs w:val="20"/>
        </w:rPr>
        <w:t xml:space="preserve">Wielkość zasobu mieszkaniowego- </w:t>
      </w:r>
      <w:r w:rsidR="001F3947">
        <w:rPr>
          <w:rFonts w:ascii="Arial" w:hAnsi="Arial" w:cs="Arial"/>
          <w:i/>
          <w:sz w:val="18"/>
          <w:szCs w:val="20"/>
        </w:rPr>
        <w:t>prognoza na lata 2022-2026</w:t>
      </w:r>
    </w:p>
    <w:p w14:paraId="07B21576" w14:textId="77777777" w:rsidR="00BC2678" w:rsidRDefault="00BC2678" w:rsidP="00BC2678">
      <w:pPr>
        <w:jc w:val="both"/>
        <w:rPr>
          <w:rFonts w:ascii="Arial" w:hAnsi="Arial" w:cs="Arial"/>
          <w:sz w:val="20"/>
          <w:szCs w:val="20"/>
        </w:rPr>
      </w:pPr>
    </w:p>
    <w:p w14:paraId="35FFA057" w14:textId="31A0FA60" w:rsidR="00093C6A" w:rsidRPr="00093C6A" w:rsidRDefault="00093C6A" w:rsidP="00BC267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Podane wyżej wielkości są prognozowane i mają charakter szacunkowy, wynikający </w:t>
      </w:r>
      <w:r>
        <w:rPr>
          <w:rFonts w:ascii="Arial" w:hAnsi="Arial" w:cs="Arial"/>
          <w:sz w:val="20"/>
          <w:szCs w:val="20"/>
        </w:rPr>
        <w:br/>
        <w:t>m.in. z analizy struktury budynków będących w zasobach mieszkaniowych gminy.</w:t>
      </w:r>
    </w:p>
    <w:p w14:paraId="2AB70937" w14:textId="0867D9EE" w:rsidR="00093C6A" w:rsidRDefault="00093C6A" w:rsidP="00093C6A">
      <w:pPr>
        <w:rPr>
          <w:rFonts w:ascii="Arial" w:hAnsi="Arial" w:cs="Arial"/>
          <w:sz w:val="20"/>
          <w:szCs w:val="20"/>
        </w:rPr>
      </w:pPr>
    </w:p>
    <w:p w14:paraId="4AE95421" w14:textId="1836B545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4" w:name="_Toc92100377"/>
      <w:r w:rsidRPr="0004157D">
        <w:rPr>
          <w:rFonts w:ascii="Arial" w:hAnsi="Arial" w:cs="Arial"/>
          <w:b/>
          <w:color w:val="auto"/>
          <w:sz w:val="20"/>
          <w:szCs w:val="20"/>
        </w:rPr>
        <w:t>Rozdział 3</w:t>
      </w:r>
      <w:bookmarkEnd w:id="4"/>
    </w:p>
    <w:p w14:paraId="744D44F6" w14:textId="77777777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5" w:name="_Toc92100378"/>
      <w:r w:rsidRPr="0004157D">
        <w:rPr>
          <w:rFonts w:ascii="Arial" w:hAnsi="Arial" w:cs="Arial"/>
          <w:b/>
          <w:color w:val="auto"/>
          <w:sz w:val="20"/>
          <w:szCs w:val="20"/>
        </w:rPr>
        <w:t>Analiza potrzeb oraz plan remontów i modernizacji wynikający ze stanu technicznego budynków i lokali</w:t>
      </w:r>
      <w:bookmarkEnd w:id="5"/>
    </w:p>
    <w:p w14:paraId="535B7C70" w14:textId="77777777" w:rsidR="00093C6A" w:rsidRDefault="00093C6A" w:rsidP="00093C6A">
      <w:pPr>
        <w:tabs>
          <w:tab w:val="left" w:pos="3435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B37336">
        <w:rPr>
          <w:rFonts w:ascii="Arial" w:hAnsi="Arial" w:cs="Arial"/>
          <w:b/>
          <w:sz w:val="20"/>
          <w:szCs w:val="20"/>
        </w:rPr>
        <w:t xml:space="preserve"> 4</w:t>
      </w:r>
      <w:r>
        <w:rPr>
          <w:rFonts w:ascii="Arial" w:hAnsi="Arial" w:cs="Arial"/>
          <w:b/>
          <w:sz w:val="20"/>
          <w:szCs w:val="20"/>
        </w:rPr>
        <w:t>.</w:t>
      </w:r>
    </w:p>
    <w:p w14:paraId="77C1C441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3C6A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uwagi na regulacje ustawowe gmina podejmuje działania zmierzające do zaspokajania potrzeb mieszkaniowych członków wspólnoty samorządowej. Do działań tych należą przede wszystkim:</w:t>
      </w:r>
    </w:p>
    <w:p w14:paraId="5F92DD35" w14:textId="77777777" w:rsidR="00093C6A" w:rsidRDefault="00093C6A" w:rsidP="00BC2678">
      <w:pPr>
        <w:pStyle w:val="Akapitzlist"/>
        <w:numPr>
          <w:ilvl w:val="0"/>
          <w:numId w:val="8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Zaspokajanie potrzeb mieszkaniowych gospodarstw domowych osiągających niskie dochody:</w:t>
      </w:r>
    </w:p>
    <w:p w14:paraId="203D342A" w14:textId="77777777" w:rsidR="00093C6A" w:rsidRDefault="00093C6A" w:rsidP="00BC2678">
      <w:pPr>
        <w:pStyle w:val="Akapitzlist"/>
        <w:numPr>
          <w:ilvl w:val="0"/>
          <w:numId w:val="9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osób ubiegających się o najem lokalu mieszkalnego,</w:t>
      </w:r>
    </w:p>
    <w:p w14:paraId="6706F709" w14:textId="77777777" w:rsidR="00093C6A" w:rsidRDefault="00093C6A" w:rsidP="00BC2678">
      <w:pPr>
        <w:pStyle w:val="Akapitzlist"/>
        <w:numPr>
          <w:ilvl w:val="0"/>
          <w:numId w:val="9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sytuacji mieszkań do remontu na koszt przyszłego najemcy</w:t>
      </w:r>
    </w:p>
    <w:p w14:paraId="114014ED" w14:textId="77777777" w:rsidR="00093C6A" w:rsidRDefault="00093C6A" w:rsidP="00BC2678">
      <w:pPr>
        <w:pStyle w:val="Akapitzlist"/>
        <w:numPr>
          <w:ilvl w:val="0"/>
          <w:numId w:val="8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Zapewnienie lokali mieszkalnych;</w:t>
      </w:r>
    </w:p>
    <w:p w14:paraId="626F76DA" w14:textId="77777777" w:rsidR="00093C6A" w:rsidRDefault="00093C6A" w:rsidP="00BC2678">
      <w:pPr>
        <w:pStyle w:val="Akapitzlist"/>
        <w:numPr>
          <w:ilvl w:val="0"/>
          <w:numId w:val="8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Realizacja wyroków sądowych, w których sąd orzekł o uprawnieniu do zawarcia umowy najmu lokalu socjalnego</w:t>
      </w:r>
    </w:p>
    <w:p w14:paraId="692F7038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Znaczącym czynnikiem wpływającym na uszczuplenie mieszkaniowego zasobu gminy pozostaje konieczność wykwaterowania wchodzących w jego skład nieruchomości, znajdujących się w złym stanie technicznym i wynikających z powyższego obowiązek zapewnienia lokali zamiennych lokatorom zajmującym mieszkania w takich budynkach. W takiej sytuacji każdorazowo dokonuje się przeglądu dotychczas zajmowanego lokalu oraz oceny jego utrzymania przez dotychczasowych lokatorów i sytuacji materialnej tych osób, a następnie zapewnia się lokatorom odpowiednie mieszkania.</w:t>
      </w:r>
    </w:p>
    <w:p w14:paraId="5BF10B2E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Potrzeby w zakresie remontów budynków i lokali mieszkalnych należących do mieszkaniowego zasobu gminy, określane są na podstawie stanu technicznego budynków wynikającego między innymi z przeglądów technicznych przeprowadzonych w oparciu o art. 62 ustawy z dnia 7 lipca 1994 r.- Prawo budowlane (Dz. U. z 2020 r. poz. 1333). Wśród potrzeb remontowych priorytetowy charakter przypisuje się potrzebom w zakresie: eliminacji zagrożenia bezpieczeństwa użytkowników lokali i osób trzecich, zabezpieczenia przeciwpożarowe budynków, napraw instalacji elektrycznych, grzewczych, kominowych, wentylacyjnych itp.</w:t>
      </w:r>
    </w:p>
    <w:p w14:paraId="4946C0B2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Zdecydowana większość budynków stanowiących własność gminy wymaga remontów ze względu na ich wiek, ogólny stan techniczny i konieczność dostosowania do aktualnie obowiązujących przepisów techniczno- budowlanych. Wspominany zasób wymaga wykonywania robót </w:t>
      </w:r>
      <w:r>
        <w:rPr>
          <w:rFonts w:ascii="Arial" w:hAnsi="Arial" w:cs="Arial"/>
          <w:sz w:val="20"/>
          <w:szCs w:val="20"/>
        </w:rPr>
        <w:lastRenderedPageBreak/>
        <w:t>odpowiednich do stopnia zużycia, wartości historycznej i zabytkowej, a także przewidywanego okresu eksploatacji. Prace służące poprawie stanu technicznego zasobu realizowane są stosownie do możliwości finansowych gminy, które w pełni nie pokrywają istniejących w tym zakresie potrzeb.</w:t>
      </w:r>
    </w:p>
    <w:p w14:paraId="3A5B5677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Ocena stanu technicznego zasobu jest i będzie dokonywana w oparciu o okresowe przeglądy roczne i pięcioletnie budynków zgodnie z ustawą z dnia 7 lipca 1994 r. – Prawo budowlane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(Dz. U. z 2020 r. poz. 1333).</w:t>
      </w:r>
    </w:p>
    <w:p w14:paraId="5D10D8FD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prac remontowych istniejącego zasobu mieszkaniowego gwarantujący utrzymanie substancji mieszkaniowej w stanie niepogorszonym oraz ich szacunkowy koszt wykonania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każdy rok określi Wójt Gminy i przedłoży Radzie Gminy w budżecie.</w:t>
      </w:r>
    </w:p>
    <w:p w14:paraId="6A613FDE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pierwszej kolejności pracami remontowymi zostaną objęte budynki wymagające wymiany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lub naprawy pokryć dachowych, naprawy kominów, wymiany bądź naprawy instalacji elektrycznej, naprawy wentylacji, wymiany otworów okiennych i drzwiowych itp.</w:t>
      </w:r>
    </w:p>
    <w:p w14:paraId="2FDC1F4F" w14:textId="77777777" w:rsidR="00093C6A" w:rsidRDefault="00093C6A" w:rsidP="00BC2678">
      <w:pPr>
        <w:pStyle w:val="Akapitzlist"/>
        <w:numPr>
          <w:ilvl w:val="0"/>
          <w:numId w:val="7"/>
        </w:numPr>
        <w:tabs>
          <w:tab w:val="left" w:pos="343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Remonty będą przeprowadzone w miarę potrzeb i możliwości finansowych gminy Dzierzążnia. </w:t>
      </w:r>
    </w:p>
    <w:p w14:paraId="2AA9F69D" w14:textId="77777777" w:rsidR="00093C6A" w:rsidRDefault="00093C6A" w:rsidP="00093C6A">
      <w:pPr>
        <w:pStyle w:val="Akapitzlist"/>
        <w:tabs>
          <w:tab w:val="left" w:pos="3435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5566A180" w14:textId="6468AF96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6" w:name="_Toc92100379"/>
      <w:r w:rsidRPr="0004157D">
        <w:rPr>
          <w:rFonts w:ascii="Arial" w:hAnsi="Arial" w:cs="Arial"/>
          <w:b/>
          <w:color w:val="auto"/>
          <w:sz w:val="20"/>
          <w:szCs w:val="20"/>
        </w:rPr>
        <w:t>Rozdział 4</w:t>
      </w:r>
      <w:bookmarkEnd w:id="6"/>
    </w:p>
    <w:p w14:paraId="5D4E9BBE" w14:textId="77777777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7" w:name="_Toc92100380"/>
      <w:r w:rsidRPr="0004157D">
        <w:rPr>
          <w:rFonts w:ascii="Arial" w:hAnsi="Arial" w:cs="Arial"/>
          <w:b/>
          <w:color w:val="auto"/>
          <w:sz w:val="20"/>
          <w:szCs w:val="20"/>
        </w:rPr>
        <w:t>Planowana sprzedaż budynków i lokali</w:t>
      </w:r>
      <w:bookmarkEnd w:id="7"/>
    </w:p>
    <w:p w14:paraId="2BB9A59C" w14:textId="77777777" w:rsidR="00093C6A" w:rsidRDefault="00093C6A" w:rsidP="00093C6A">
      <w:pPr>
        <w:tabs>
          <w:tab w:val="left" w:pos="3435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B37336">
        <w:rPr>
          <w:rFonts w:ascii="Arial" w:hAnsi="Arial" w:cs="Arial"/>
          <w:b/>
          <w:sz w:val="20"/>
          <w:szCs w:val="20"/>
        </w:rPr>
        <w:t xml:space="preserve"> 5</w:t>
      </w:r>
      <w:r>
        <w:rPr>
          <w:rFonts w:ascii="Arial" w:hAnsi="Arial" w:cs="Arial"/>
          <w:b/>
          <w:sz w:val="20"/>
          <w:szCs w:val="20"/>
        </w:rPr>
        <w:t>.</w:t>
      </w:r>
    </w:p>
    <w:p w14:paraId="0C13267F" w14:textId="77777777" w:rsidR="00093C6A" w:rsidRDefault="00093C6A" w:rsidP="00BC2678">
      <w:pPr>
        <w:pStyle w:val="Akapitzlist"/>
        <w:numPr>
          <w:ilvl w:val="0"/>
          <w:numId w:val="10"/>
        </w:numPr>
        <w:tabs>
          <w:tab w:val="left" w:pos="3435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93C6A">
        <w:rPr>
          <w:rFonts w:ascii="Arial" w:hAnsi="Arial" w:cs="Arial"/>
          <w:sz w:val="20"/>
          <w:szCs w:val="20"/>
        </w:rPr>
        <w:t xml:space="preserve">W okresie objętym planem nie przewiduje się sprzedaży lokali z zasobu mieszkaniowego gminy </w:t>
      </w:r>
      <w:r w:rsidR="0004157D">
        <w:rPr>
          <w:rFonts w:ascii="Arial" w:hAnsi="Arial" w:cs="Arial"/>
          <w:sz w:val="20"/>
          <w:szCs w:val="20"/>
        </w:rPr>
        <w:br/>
      </w:r>
      <w:r w:rsidR="001F3947">
        <w:rPr>
          <w:rFonts w:ascii="Arial" w:hAnsi="Arial" w:cs="Arial"/>
          <w:sz w:val="20"/>
          <w:szCs w:val="20"/>
        </w:rPr>
        <w:t>w latach 2022-2026</w:t>
      </w:r>
      <w:r>
        <w:rPr>
          <w:rFonts w:ascii="Arial" w:hAnsi="Arial" w:cs="Arial"/>
          <w:sz w:val="20"/>
          <w:szCs w:val="20"/>
        </w:rPr>
        <w:t>;</w:t>
      </w:r>
    </w:p>
    <w:p w14:paraId="55B87AED" w14:textId="77777777" w:rsidR="00093C6A" w:rsidRDefault="00093C6A" w:rsidP="00BC2678">
      <w:pPr>
        <w:pStyle w:val="Akapitzlist"/>
        <w:numPr>
          <w:ilvl w:val="0"/>
          <w:numId w:val="10"/>
        </w:numPr>
        <w:tabs>
          <w:tab w:val="left" w:pos="3435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Wyrażenie przez najemcę woli nabycia lokalu nie powoduje powstania roszczenia o sprzedaż lokalu.</w:t>
      </w:r>
    </w:p>
    <w:p w14:paraId="2150B70F" w14:textId="77777777" w:rsidR="00093C6A" w:rsidRDefault="00093C6A" w:rsidP="00093C6A">
      <w:pPr>
        <w:pStyle w:val="Akapitzlist"/>
        <w:tabs>
          <w:tab w:val="left" w:pos="3435"/>
        </w:tabs>
        <w:spacing w:after="0"/>
        <w:ind w:left="426"/>
        <w:jc w:val="center"/>
        <w:rPr>
          <w:rFonts w:ascii="Arial" w:hAnsi="Arial" w:cs="Arial"/>
          <w:b/>
          <w:sz w:val="20"/>
          <w:szCs w:val="20"/>
        </w:rPr>
      </w:pPr>
    </w:p>
    <w:p w14:paraId="308B6F93" w14:textId="77777777" w:rsidR="00093C6A" w:rsidRDefault="00093C6A" w:rsidP="00093C6A">
      <w:pPr>
        <w:pStyle w:val="Akapitzlist"/>
        <w:tabs>
          <w:tab w:val="left" w:pos="3435"/>
        </w:tabs>
        <w:spacing w:after="0"/>
        <w:ind w:left="426"/>
        <w:jc w:val="center"/>
        <w:rPr>
          <w:rFonts w:ascii="Arial" w:hAnsi="Arial" w:cs="Arial"/>
          <w:b/>
          <w:sz w:val="20"/>
          <w:szCs w:val="20"/>
        </w:rPr>
      </w:pPr>
    </w:p>
    <w:p w14:paraId="70442BEC" w14:textId="1F24EA55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8" w:name="_Toc92100381"/>
      <w:r w:rsidRPr="0004157D">
        <w:rPr>
          <w:rFonts w:ascii="Arial" w:hAnsi="Arial" w:cs="Arial"/>
          <w:b/>
          <w:color w:val="auto"/>
          <w:sz w:val="20"/>
          <w:szCs w:val="20"/>
        </w:rPr>
        <w:t>Rozdział 5</w:t>
      </w:r>
      <w:bookmarkEnd w:id="8"/>
    </w:p>
    <w:p w14:paraId="0255EE8E" w14:textId="77777777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9" w:name="_Toc92100382"/>
      <w:r w:rsidRPr="0004157D">
        <w:rPr>
          <w:rFonts w:ascii="Arial" w:hAnsi="Arial" w:cs="Arial"/>
          <w:b/>
          <w:color w:val="auto"/>
          <w:sz w:val="20"/>
          <w:szCs w:val="20"/>
        </w:rPr>
        <w:t>Zasady polityki czynszowej oraz warunki obniżania czynszu</w:t>
      </w:r>
      <w:bookmarkEnd w:id="9"/>
    </w:p>
    <w:p w14:paraId="35AD6DC4" w14:textId="77777777" w:rsidR="00093C6A" w:rsidRDefault="00093C6A" w:rsidP="00093C6A">
      <w:pPr>
        <w:tabs>
          <w:tab w:val="left" w:pos="3435"/>
        </w:tabs>
        <w:spacing w:after="0"/>
        <w:rPr>
          <w:rFonts w:ascii="Arial" w:hAnsi="Arial" w:cs="Arial"/>
          <w:sz w:val="20"/>
          <w:szCs w:val="20"/>
        </w:rPr>
      </w:pPr>
    </w:p>
    <w:p w14:paraId="5958CA2D" w14:textId="77777777" w:rsidR="00093C6A" w:rsidRDefault="00093C6A" w:rsidP="00093C6A">
      <w:pPr>
        <w:tabs>
          <w:tab w:val="left" w:pos="3435"/>
        </w:tabs>
        <w:spacing w:after="0"/>
        <w:rPr>
          <w:rFonts w:ascii="Arial" w:hAnsi="Arial" w:cs="Arial"/>
          <w:b/>
          <w:sz w:val="20"/>
          <w:szCs w:val="20"/>
        </w:rPr>
      </w:pPr>
      <w:r w:rsidRPr="00093C6A">
        <w:rPr>
          <w:rFonts w:ascii="Arial" w:hAnsi="Arial" w:cs="Arial"/>
          <w:b/>
          <w:sz w:val="20"/>
          <w:szCs w:val="20"/>
        </w:rPr>
        <w:t>§</w:t>
      </w:r>
      <w:r w:rsidR="00B37336">
        <w:rPr>
          <w:rFonts w:ascii="Arial" w:hAnsi="Arial" w:cs="Arial"/>
          <w:b/>
          <w:sz w:val="20"/>
          <w:szCs w:val="20"/>
        </w:rPr>
        <w:t xml:space="preserve"> 6</w:t>
      </w:r>
      <w:r w:rsidRPr="00093C6A">
        <w:rPr>
          <w:rFonts w:ascii="Arial" w:hAnsi="Arial" w:cs="Arial"/>
          <w:b/>
          <w:sz w:val="20"/>
          <w:szCs w:val="20"/>
        </w:rPr>
        <w:t>.</w:t>
      </w:r>
    </w:p>
    <w:p w14:paraId="3E510640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93C6A">
        <w:rPr>
          <w:rFonts w:ascii="Arial" w:hAnsi="Arial" w:cs="Arial"/>
          <w:sz w:val="20"/>
          <w:szCs w:val="20"/>
        </w:rPr>
        <w:t xml:space="preserve">Gmina stara się </w:t>
      </w:r>
      <w:r>
        <w:rPr>
          <w:rFonts w:ascii="Arial" w:hAnsi="Arial" w:cs="Arial"/>
          <w:sz w:val="20"/>
          <w:szCs w:val="20"/>
        </w:rPr>
        <w:t xml:space="preserve">prowadzić racjonalną politykę czynszową, która zmierza do utrzymania zasobu mieszkaniowego na odpowiednim poziomie technicznym i estetycznym oraz zmierza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do równoważenia wydatków na utrzymanie zasobu mieszkaniowego z dochodami z tytułu czynszu najmu lokali mieszkalnych.</w:t>
      </w:r>
    </w:p>
    <w:p w14:paraId="4569A04A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Stawki czynszu za 1 m </w:t>
      </w: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sz w:val="20"/>
          <w:szCs w:val="20"/>
        </w:rPr>
        <w:t xml:space="preserve">powierzchni użytkowej lokalu z uwzględnieniem czynników podwyższających lub obniżających ich wartość użytkową ustala Zarządzeniem Wójt Gminy </w:t>
      </w:r>
      <w:r>
        <w:rPr>
          <w:rFonts w:ascii="Arial" w:hAnsi="Arial" w:cs="Arial"/>
          <w:sz w:val="20"/>
          <w:szCs w:val="20"/>
        </w:rPr>
        <w:br/>
        <w:t xml:space="preserve">w oparciu o zasady określone w ustawie. </w:t>
      </w:r>
    </w:p>
    <w:p w14:paraId="003704F6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Uzyskane dochody z czynszów będą przeznaczane na wydatki związane z utrzymaniem zasobu mieszkaniowego gminy.</w:t>
      </w:r>
    </w:p>
    <w:p w14:paraId="59C60F2F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czasie trwania stosunku najmu Wójt może podwyższyć stawkę czynszu, jeżeli dokonał w lokalu ulepszeń mających wpływ na podwyższenie jego stanu technicznego i standardu życia. </w:t>
      </w:r>
    </w:p>
    <w:p w14:paraId="1E41524C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Podwyższenie czynszu i innych opłat za używanie lokalu, z wyjątkiem opłat niezależnych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właściciela nie może być dokonywane częściej niż co 6 miesięcy. Termin wypowiedzenia czynszu oraz innych opłat za używanie lokalu wynosi 3 miesiące, chyba że strony w umowie ustalą termin dłużysz. </w:t>
      </w:r>
    </w:p>
    <w:p w14:paraId="4AFEF5C4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Najemcy lokali opłacają czynsz za lokale mieszkalne, ustalony wg stawki bazowej za 1 m </w:t>
      </w: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>
        <w:rPr>
          <w:rFonts w:ascii="Arial" w:hAnsi="Arial" w:cs="Arial"/>
          <w:sz w:val="20"/>
          <w:szCs w:val="20"/>
        </w:rPr>
        <w:t xml:space="preserve"> powierzchni użytkowej lokali.</w:t>
      </w:r>
    </w:p>
    <w:p w14:paraId="322736F9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czynszu za lokal socjalny nie może przekraczać połowy stawki najniższego czynszu obowiązującego w mieszkaniowym zasobie gminy.</w:t>
      </w:r>
    </w:p>
    <w:p w14:paraId="2574AEF9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wniosek najemcy można stosować określone obniżki czynszu naliczonego według obowiązujących stawek w stosunku do najemców o niskich dochodach. </w:t>
      </w:r>
    </w:p>
    <w:p w14:paraId="086948FF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Najemca ubiegający się o obniżkę czynszu obowiązany jest przedstawić dokumenty potwierdzające wysokość dochodów własnych oraz członków gospodarstwa domowego.</w:t>
      </w:r>
    </w:p>
    <w:p w14:paraId="4A221D80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dochód uważa się dochód w rozumieniu ustawy z dnia 21 czerwca 2001 r. o dodatkach mieszkaniowych.</w:t>
      </w:r>
    </w:p>
    <w:p w14:paraId="19D2A08D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Obniżki mogą być udzielane najemcom, których średni dochód w przeliczeniu na jednego członka gospodarstwa domowego, z ostatnich trzech miesięcy poprzedzających termin rozpatrywania wniosku nie przekracza:</w:t>
      </w:r>
    </w:p>
    <w:p w14:paraId="40660E06" w14:textId="77777777" w:rsidR="00093C6A" w:rsidRDefault="00093C6A" w:rsidP="00C66873">
      <w:pPr>
        <w:pStyle w:val="Akapitzlist"/>
        <w:numPr>
          <w:ilvl w:val="0"/>
          <w:numId w:val="12"/>
        </w:numPr>
        <w:tabs>
          <w:tab w:val="left" w:pos="3435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70 % najniższej emerytury w gospodarstwie jednoosobowym,</w:t>
      </w:r>
    </w:p>
    <w:p w14:paraId="2634DCFD" w14:textId="77777777" w:rsidR="00093C6A" w:rsidRDefault="00093C6A" w:rsidP="00C66873">
      <w:pPr>
        <w:pStyle w:val="Akapitzlist"/>
        <w:numPr>
          <w:ilvl w:val="0"/>
          <w:numId w:val="12"/>
        </w:numPr>
        <w:tabs>
          <w:tab w:val="left" w:pos="3435"/>
        </w:tabs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50 % najniższej emerytury w gospodarstwie wieloosobowym.</w:t>
      </w:r>
    </w:p>
    <w:p w14:paraId="550EA376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Obniżki o których mowa w ust. 9, 10 i 12 udziela się najemcy na okres 12 miesięcy. W przypadku gdy utrzymuje się niski dochód gospodarstwa domowego to uzasadnia, właściciel na wniosek najemcy, może udzielić obniżek czynszu na kolejne okresy dwunastomiesięczne.</w:t>
      </w:r>
    </w:p>
    <w:p w14:paraId="2DA1BFA2" w14:textId="77777777" w:rsidR="00093C6A" w:rsidRDefault="00093C6A" w:rsidP="00C66873">
      <w:pPr>
        <w:pStyle w:val="Akapitzlist"/>
        <w:numPr>
          <w:ilvl w:val="0"/>
          <w:numId w:val="11"/>
        </w:numPr>
        <w:tabs>
          <w:tab w:val="left" w:pos="3435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złożenia dokumentów potwierdzających dochód niezgodny z prawdą, najemca obowiązany jest zwrócić właścicielowi 200% kwoty nienależnego otrzymania obniżenia czynszu.</w:t>
      </w:r>
    </w:p>
    <w:p w14:paraId="3141748E" w14:textId="77777777" w:rsidR="00093C6A" w:rsidRDefault="00093C6A" w:rsidP="00093C6A">
      <w:pPr>
        <w:tabs>
          <w:tab w:val="left" w:pos="3435"/>
        </w:tabs>
        <w:spacing w:after="0"/>
        <w:jc w:val="center"/>
        <w:rPr>
          <w:rFonts w:ascii="Arial" w:hAnsi="Arial" w:cs="Arial"/>
          <w:sz w:val="20"/>
          <w:szCs w:val="20"/>
        </w:rPr>
      </w:pPr>
    </w:p>
    <w:p w14:paraId="37214919" w14:textId="730DBD3F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0" w:name="_Toc92100383"/>
      <w:r w:rsidRPr="0004157D">
        <w:rPr>
          <w:rFonts w:ascii="Arial" w:hAnsi="Arial" w:cs="Arial"/>
          <w:b/>
          <w:color w:val="auto"/>
          <w:sz w:val="20"/>
          <w:szCs w:val="20"/>
        </w:rPr>
        <w:t>Rozdział 6</w:t>
      </w:r>
      <w:bookmarkEnd w:id="10"/>
    </w:p>
    <w:p w14:paraId="12FE11F0" w14:textId="77777777" w:rsidR="00093C6A" w:rsidRPr="0004157D" w:rsidRDefault="00093C6A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1" w:name="_Toc92100384"/>
      <w:r w:rsidRPr="0004157D">
        <w:rPr>
          <w:rFonts w:ascii="Arial" w:hAnsi="Arial" w:cs="Arial"/>
          <w:b/>
          <w:color w:val="auto"/>
          <w:sz w:val="20"/>
          <w:szCs w:val="20"/>
        </w:rPr>
        <w:t>Aktywna windykacja należności czynszowych</w:t>
      </w:r>
      <w:bookmarkEnd w:id="11"/>
    </w:p>
    <w:p w14:paraId="3802CD19" w14:textId="77777777" w:rsidR="00093C6A" w:rsidRDefault="00093C6A" w:rsidP="00093C6A">
      <w:pPr>
        <w:tabs>
          <w:tab w:val="left" w:pos="3435"/>
        </w:tabs>
        <w:spacing w:after="0"/>
        <w:rPr>
          <w:rFonts w:ascii="Arial" w:hAnsi="Arial" w:cs="Arial"/>
          <w:b/>
          <w:sz w:val="20"/>
          <w:szCs w:val="20"/>
        </w:rPr>
      </w:pPr>
    </w:p>
    <w:p w14:paraId="5E8318AA" w14:textId="77777777" w:rsidR="00093C6A" w:rsidRDefault="00093C6A" w:rsidP="00093C6A">
      <w:pPr>
        <w:tabs>
          <w:tab w:val="left" w:pos="3435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</w:t>
      </w:r>
      <w:r w:rsidR="00B37336">
        <w:rPr>
          <w:rFonts w:ascii="Arial" w:hAnsi="Arial" w:cs="Arial"/>
          <w:b/>
          <w:sz w:val="20"/>
          <w:szCs w:val="20"/>
        </w:rPr>
        <w:t xml:space="preserve"> 7</w:t>
      </w:r>
      <w:r>
        <w:rPr>
          <w:rFonts w:ascii="Arial" w:hAnsi="Arial" w:cs="Arial"/>
          <w:b/>
          <w:sz w:val="20"/>
          <w:szCs w:val="20"/>
        </w:rPr>
        <w:t>.</w:t>
      </w:r>
    </w:p>
    <w:p w14:paraId="665610C4" w14:textId="77777777" w:rsidR="00093C6A" w:rsidRDefault="00093C6A" w:rsidP="009E53BF">
      <w:pPr>
        <w:pStyle w:val="Akapitzlist"/>
        <w:numPr>
          <w:ilvl w:val="0"/>
          <w:numId w:val="14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prowadzi bieżący nadzór nad terminowością regulowania opłat czynszowych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oraz monitoring bieżących należności, polegający na regularnym wysyłaniu wezwań do zapłaty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zawiadomień o braku bieżących płatności.</w:t>
      </w:r>
    </w:p>
    <w:p w14:paraId="0ECE1555" w14:textId="77777777" w:rsidR="00093C6A" w:rsidRDefault="00093C6A" w:rsidP="009E53BF">
      <w:pPr>
        <w:pStyle w:val="Akapitzlist"/>
        <w:numPr>
          <w:ilvl w:val="0"/>
          <w:numId w:val="14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Celem zwiększenia skuteczności podejmowanych działań wobec osób trwale zalegających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opłatami z tytułu korzystania z lokali mieszkalnych będą podejmowane działania w zakresie:</w:t>
      </w:r>
    </w:p>
    <w:p w14:paraId="13152776" w14:textId="77777777" w:rsidR="00093C6A" w:rsidRDefault="00093C6A" w:rsidP="009E53BF">
      <w:pPr>
        <w:pStyle w:val="Akapitzlist"/>
        <w:numPr>
          <w:ilvl w:val="0"/>
          <w:numId w:val="15"/>
        </w:numPr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prowadzenie windykacji poprzez bezpośrednie negocjacje z dłużnikiem w sprawie spłaty zadłużenia;</w:t>
      </w:r>
    </w:p>
    <w:p w14:paraId="2D979B95" w14:textId="77777777" w:rsidR="00093C6A" w:rsidRDefault="00093C6A" w:rsidP="009E53BF">
      <w:pPr>
        <w:pStyle w:val="Akapitzlist"/>
        <w:numPr>
          <w:ilvl w:val="0"/>
          <w:numId w:val="15"/>
        </w:numPr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kierowania spraw na drogę postępowania sądowego i egzekucyjnego;</w:t>
      </w:r>
    </w:p>
    <w:p w14:paraId="2C386212" w14:textId="77777777" w:rsidR="00093C6A" w:rsidRDefault="00093C6A" w:rsidP="009E53BF">
      <w:pPr>
        <w:pStyle w:val="Akapitzlist"/>
        <w:numPr>
          <w:ilvl w:val="0"/>
          <w:numId w:val="15"/>
        </w:numPr>
        <w:shd w:val="clear" w:color="auto" w:fill="FFFFFF" w:themeFill="background1"/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ponownego kierowania spraw na drogę postępowania egzekucyjnego;</w:t>
      </w:r>
    </w:p>
    <w:p w14:paraId="0A171632" w14:textId="77777777" w:rsidR="00093C6A" w:rsidRDefault="00093C6A" w:rsidP="009E53BF">
      <w:pPr>
        <w:pStyle w:val="Akapitzlist"/>
        <w:numPr>
          <w:ilvl w:val="0"/>
          <w:numId w:val="15"/>
        </w:numPr>
        <w:shd w:val="clear" w:color="auto" w:fill="FFFFFF" w:themeFill="background1"/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kierowanie spraw na drogę postępowania sądowego poprzez e- sądy.</w:t>
      </w:r>
    </w:p>
    <w:p w14:paraId="32BB44D8" w14:textId="77777777" w:rsidR="00B37336" w:rsidRDefault="00B37336" w:rsidP="00B37336">
      <w:pPr>
        <w:tabs>
          <w:tab w:val="left" w:pos="3435"/>
        </w:tabs>
        <w:spacing w:after="0"/>
        <w:rPr>
          <w:rFonts w:ascii="Arial" w:hAnsi="Arial" w:cs="Arial"/>
          <w:sz w:val="20"/>
          <w:szCs w:val="20"/>
        </w:rPr>
      </w:pPr>
    </w:p>
    <w:p w14:paraId="554CF3A6" w14:textId="71221DE8" w:rsidR="00B37336" w:rsidRPr="0004157D" w:rsidRDefault="00B37336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2" w:name="_Toc92100385"/>
      <w:r w:rsidRPr="0004157D">
        <w:rPr>
          <w:rFonts w:ascii="Arial" w:hAnsi="Arial" w:cs="Arial"/>
          <w:b/>
          <w:color w:val="auto"/>
          <w:sz w:val="20"/>
          <w:szCs w:val="20"/>
        </w:rPr>
        <w:t>Rozdział 7</w:t>
      </w:r>
      <w:bookmarkEnd w:id="12"/>
    </w:p>
    <w:p w14:paraId="042C17B3" w14:textId="0CA5F97B" w:rsidR="00B37336" w:rsidRDefault="00B37336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3" w:name="_Toc92100386"/>
      <w:r w:rsidRPr="0004157D">
        <w:rPr>
          <w:rFonts w:ascii="Arial" w:hAnsi="Arial" w:cs="Arial"/>
          <w:b/>
          <w:color w:val="auto"/>
          <w:sz w:val="20"/>
          <w:szCs w:val="20"/>
        </w:rPr>
        <w:t>Sposób i zasady zarządzania lokalami i budynkami wchodzącymi w skład mieszkaniowego zasobu gminy oraz przewidywane zmiany w zakresie zarządzania mieszkaniowym zasobie gminy w kolejnych latach</w:t>
      </w:r>
      <w:bookmarkEnd w:id="13"/>
    </w:p>
    <w:p w14:paraId="56608ED7" w14:textId="77777777" w:rsidR="00D948C9" w:rsidRPr="00D948C9" w:rsidRDefault="00D948C9" w:rsidP="00D948C9"/>
    <w:p w14:paraId="2A95F330" w14:textId="77777777" w:rsidR="00B37336" w:rsidRDefault="00B37336" w:rsidP="00B37336">
      <w:pPr>
        <w:tabs>
          <w:tab w:val="left" w:pos="3435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8.</w:t>
      </w:r>
    </w:p>
    <w:p w14:paraId="559F4503" w14:textId="77777777" w:rsidR="00B37336" w:rsidRDefault="00B37336" w:rsidP="009E53BF">
      <w:pPr>
        <w:pStyle w:val="Akapitzlist"/>
        <w:numPr>
          <w:ilvl w:val="0"/>
          <w:numId w:val="16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Nieruchomościami mieszkalnymi wchodzącymi w skład mieszkaniowego zasobu gminy zarządza wójt.</w:t>
      </w:r>
    </w:p>
    <w:p w14:paraId="5A27765B" w14:textId="77777777" w:rsidR="00B37336" w:rsidRDefault="00B37336" w:rsidP="009E53BF">
      <w:pPr>
        <w:pStyle w:val="Akapitzlist"/>
        <w:numPr>
          <w:ilvl w:val="0"/>
          <w:numId w:val="16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Gospodarka nieruchomościami mieszkalnymi opiera się na następujących zasadach: </w:t>
      </w:r>
    </w:p>
    <w:p w14:paraId="36F45AF9" w14:textId="77777777" w:rsidR="00B37336" w:rsidRDefault="00B37336" w:rsidP="009E53BF">
      <w:pPr>
        <w:pStyle w:val="Akapitzlist"/>
        <w:numPr>
          <w:ilvl w:val="0"/>
          <w:numId w:val="17"/>
        </w:numPr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Utrzymaniu zasobu mieszkaniowego w należytym, niepogarszającym się stanie technicznym;</w:t>
      </w:r>
    </w:p>
    <w:p w14:paraId="5752DB19" w14:textId="77777777" w:rsidR="00B37336" w:rsidRDefault="00B37336" w:rsidP="009E53BF">
      <w:pPr>
        <w:pStyle w:val="Akapitzlist"/>
        <w:numPr>
          <w:ilvl w:val="0"/>
          <w:numId w:val="17"/>
        </w:numPr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Niezbędnym remoncie realizowanym w miarę posiadanych środków finansowych w budżecie gminy;</w:t>
      </w:r>
    </w:p>
    <w:p w14:paraId="20AC235A" w14:textId="77777777" w:rsidR="00B37336" w:rsidRDefault="00B37336" w:rsidP="009E53BF">
      <w:pPr>
        <w:pStyle w:val="Akapitzlist"/>
        <w:numPr>
          <w:ilvl w:val="0"/>
          <w:numId w:val="17"/>
        </w:numPr>
        <w:tabs>
          <w:tab w:val="left" w:pos="3435"/>
        </w:tabs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Zapewnieniu najemcom lokali podstawowych warunków mieszkaniowych.</w:t>
      </w:r>
    </w:p>
    <w:p w14:paraId="06D5024D" w14:textId="77777777" w:rsidR="00B37336" w:rsidRDefault="00B37336" w:rsidP="009E53BF">
      <w:pPr>
        <w:pStyle w:val="Akapitzlist"/>
        <w:numPr>
          <w:ilvl w:val="0"/>
          <w:numId w:val="16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przewiduje się w kolejnych latach zmian w sposobie i zasadach zarządzania budynkami </w:t>
      </w:r>
      <w:r w:rsidR="0004157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lokalami wchodzącymi w skład mieszkaniowego zasobu gminy.</w:t>
      </w:r>
    </w:p>
    <w:p w14:paraId="34C5E5D7" w14:textId="77777777" w:rsidR="00B37336" w:rsidRDefault="00B37336" w:rsidP="00B37336">
      <w:pPr>
        <w:tabs>
          <w:tab w:val="left" w:pos="3435"/>
        </w:tabs>
        <w:spacing w:after="0" w:line="276" w:lineRule="auto"/>
        <w:rPr>
          <w:rFonts w:ascii="Arial" w:hAnsi="Arial" w:cs="Arial"/>
          <w:sz w:val="20"/>
          <w:szCs w:val="20"/>
        </w:rPr>
      </w:pPr>
    </w:p>
    <w:p w14:paraId="270F46D8" w14:textId="44E24F95" w:rsidR="00B37336" w:rsidRPr="0004157D" w:rsidRDefault="00B37336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4" w:name="_Toc92100387"/>
      <w:r w:rsidRPr="0004157D">
        <w:rPr>
          <w:rFonts w:ascii="Arial" w:hAnsi="Arial" w:cs="Arial"/>
          <w:b/>
          <w:color w:val="auto"/>
          <w:sz w:val="20"/>
          <w:szCs w:val="20"/>
        </w:rPr>
        <w:t>Rozdział 8</w:t>
      </w:r>
      <w:bookmarkEnd w:id="14"/>
    </w:p>
    <w:p w14:paraId="101D88DD" w14:textId="5154BFEC" w:rsidR="00B37336" w:rsidRDefault="00B37336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5" w:name="_Toc92100388"/>
      <w:r w:rsidRPr="0004157D">
        <w:rPr>
          <w:rFonts w:ascii="Arial" w:hAnsi="Arial" w:cs="Arial"/>
          <w:b/>
          <w:color w:val="auto"/>
          <w:sz w:val="20"/>
          <w:szCs w:val="20"/>
        </w:rPr>
        <w:t>Źródła finansowania gospodarki mieszkaniowej w kolejnych latach</w:t>
      </w:r>
      <w:bookmarkEnd w:id="15"/>
    </w:p>
    <w:p w14:paraId="3B539734" w14:textId="77777777" w:rsidR="00D948C9" w:rsidRPr="00D948C9" w:rsidRDefault="00D948C9" w:rsidP="00D948C9"/>
    <w:p w14:paraId="58184932" w14:textId="77777777" w:rsidR="00B37336" w:rsidRDefault="00B37336" w:rsidP="00B37336">
      <w:pPr>
        <w:tabs>
          <w:tab w:val="left" w:pos="343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9.</w:t>
      </w:r>
    </w:p>
    <w:p w14:paraId="36BCE4DF" w14:textId="77777777" w:rsidR="00B37336" w:rsidRDefault="00B37336" w:rsidP="009E53BF">
      <w:pPr>
        <w:pStyle w:val="Akapitzlist"/>
        <w:numPr>
          <w:ilvl w:val="0"/>
          <w:numId w:val="19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7336">
        <w:rPr>
          <w:rFonts w:ascii="Arial" w:hAnsi="Arial" w:cs="Arial"/>
          <w:sz w:val="20"/>
          <w:szCs w:val="20"/>
        </w:rPr>
        <w:t xml:space="preserve">Źródłem finansowania gospodarki mieszkaniowej są </w:t>
      </w:r>
      <w:r>
        <w:rPr>
          <w:rFonts w:ascii="Arial" w:hAnsi="Arial" w:cs="Arial"/>
          <w:sz w:val="20"/>
          <w:szCs w:val="20"/>
        </w:rPr>
        <w:t>dochody z tytułu czynszu za najem lokali mieszkalnych.</w:t>
      </w:r>
    </w:p>
    <w:p w14:paraId="07A51376" w14:textId="77777777" w:rsidR="00B37336" w:rsidRDefault="00B37336" w:rsidP="009E53BF">
      <w:pPr>
        <w:pStyle w:val="Akapitzlist"/>
        <w:numPr>
          <w:ilvl w:val="0"/>
          <w:numId w:val="19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niezbędne do uzupełnienia brakujące środki zostaną pokryte w miarę posiadanych środków z budżetu gminy oraz pozyskiwanych środków zewnętrznych (krajowych i z budżety Unii Europejskiej)</w:t>
      </w:r>
    </w:p>
    <w:p w14:paraId="62E83E2D" w14:textId="77777777" w:rsidR="00B37336" w:rsidRPr="00B37336" w:rsidRDefault="00B37336" w:rsidP="009E53BF">
      <w:pPr>
        <w:pStyle w:val="Akapitzlist"/>
        <w:numPr>
          <w:ilvl w:val="0"/>
          <w:numId w:val="19"/>
        </w:numPr>
        <w:tabs>
          <w:tab w:val="left" w:pos="3435"/>
        </w:tabs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Prognozowana wysokość dochodów z tytułu najmu lokali mieszkalnych z zasobów gm</w:t>
      </w:r>
      <w:r w:rsidR="009E53BF">
        <w:rPr>
          <w:rFonts w:ascii="Arial" w:hAnsi="Arial" w:cs="Arial"/>
          <w:sz w:val="20"/>
          <w:szCs w:val="20"/>
        </w:rPr>
        <w:t>iny przedstawia poniższy wykres:</w:t>
      </w:r>
    </w:p>
    <w:p w14:paraId="02A639EA" w14:textId="77777777" w:rsidR="00093C6A" w:rsidRPr="00B37336" w:rsidRDefault="00093C6A" w:rsidP="00745606">
      <w:pPr>
        <w:tabs>
          <w:tab w:val="left" w:pos="343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E087942" w14:textId="77777777" w:rsidR="009E53BF" w:rsidRDefault="001F3947" w:rsidP="009E53BF">
      <w:pPr>
        <w:tabs>
          <w:tab w:val="left" w:pos="3435"/>
        </w:tabs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4D703F9A" wp14:editId="7628FEB2">
            <wp:extent cx="4514850" cy="2600325"/>
            <wp:effectExtent l="0" t="0" r="0" b="0"/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620BC1B" w14:textId="092A9D11" w:rsidR="009E53BF" w:rsidRDefault="009E53BF" w:rsidP="009E53BF">
      <w:pPr>
        <w:tabs>
          <w:tab w:val="left" w:pos="1620"/>
        </w:tabs>
        <w:jc w:val="center"/>
        <w:rPr>
          <w:rFonts w:ascii="Arial" w:hAnsi="Arial" w:cs="Arial"/>
          <w:i/>
          <w:sz w:val="18"/>
          <w:szCs w:val="20"/>
        </w:rPr>
      </w:pPr>
      <w:r w:rsidRPr="009E53BF">
        <w:rPr>
          <w:rFonts w:ascii="Arial" w:hAnsi="Arial" w:cs="Arial"/>
          <w:i/>
          <w:sz w:val="18"/>
          <w:szCs w:val="20"/>
        </w:rPr>
        <w:t>Wykres nr 4- Prognozowana</w:t>
      </w:r>
      <w:r w:rsidR="001F3947">
        <w:rPr>
          <w:rFonts w:ascii="Arial" w:hAnsi="Arial" w:cs="Arial"/>
          <w:i/>
          <w:sz w:val="18"/>
          <w:szCs w:val="20"/>
        </w:rPr>
        <w:t xml:space="preserve"> wysokość dochodów w latach 2022-2026</w:t>
      </w:r>
    </w:p>
    <w:p w14:paraId="2C85195C" w14:textId="77777777" w:rsidR="00691D7D" w:rsidRDefault="00691D7D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6" w:name="_Toc92100389"/>
    </w:p>
    <w:p w14:paraId="160202B7" w14:textId="3913DC2C" w:rsidR="00093C6A" w:rsidRPr="0004157D" w:rsidRDefault="009E53BF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4157D">
        <w:rPr>
          <w:rFonts w:ascii="Arial" w:hAnsi="Arial" w:cs="Arial"/>
          <w:b/>
          <w:color w:val="auto"/>
          <w:sz w:val="20"/>
          <w:szCs w:val="20"/>
        </w:rPr>
        <w:t>Rozdział 9</w:t>
      </w:r>
      <w:bookmarkEnd w:id="16"/>
    </w:p>
    <w:p w14:paraId="662ED742" w14:textId="77777777" w:rsidR="009E53BF" w:rsidRPr="0004157D" w:rsidRDefault="009E53BF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7" w:name="_Toc92100390"/>
      <w:r w:rsidRPr="0004157D">
        <w:rPr>
          <w:rFonts w:ascii="Arial" w:hAnsi="Arial" w:cs="Arial"/>
          <w:b/>
          <w:color w:val="auto"/>
          <w:sz w:val="20"/>
          <w:szCs w:val="20"/>
        </w:rPr>
        <w:t xml:space="preserve">Wysokość kosztów w kolejnych latach, z podziałem na koszty bieżącej eksploatacji, kosztów remontów oraz koszty modernizacji lokali i budynków wchodzących w skład mieszkaniowego zasobu gminy, koszty zarządu nieruchomościami wspólnymi, których gmina jest jednym </w:t>
      </w:r>
      <w:r w:rsidR="0004157D" w:rsidRPr="0004157D">
        <w:rPr>
          <w:rFonts w:ascii="Arial" w:hAnsi="Arial" w:cs="Arial"/>
          <w:b/>
          <w:color w:val="auto"/>
          <w:sz w:val="20"/>
          <w:szCs w:val="20"/>
        </w:rPr>
        <w:br/>
      </w:r>
      <w:r w:rsidRPr="0004157D">
        <w:rPr>
          <w:rFonts w:ascii="Arial" w:hAnsi="Arial" w:cs="Arial"/>
          <w:b/>
          <w:color w:val="auto"/>
          <w:sz w:val="20"/>
          <w:szCs w:val="20"/>
        </w:rPr>
        <w:t>ze współwłaścicieli, a także wydatki inwestycyjne</w:t>
      </w:r>
      <w:bookmarkEnd w:id="17"/>
    </w:p>
    <w:p w14:paraId="2E04E255" w14:textId="77777777" w:rsidR="009E53BF" w:rsidRDefault="009E53BF" w:rsidP="009E53B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C6BAB2D" w14:textId="77777777" w:rsidR="009E53BF" w:rsidRDefault="009E53BF" w:rsidP="009E53B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10.</w:t>
      </w:r>
    </w:p>
    <w:p w14:paraId="19929E17" w14:textId="77777777" w:rsidR="009E53BF" w:rsidRDefault="009E53BF" w:rsidP="009E53BF">
      <w:pPr>
        <w:pStyle w:val="Akapitzlist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E53BF">
        <w:rPr>
          <w:rFonts w:ascii="Arial" w:hAnsi="Arial" w:cs="Arial"/>
          <w:sz w:val="20"/>
          <w:szCs w:val="20"/>
        </w:rPr>
        <w:t>Wysokość wydatków w kolejnych latach na utrzymanie zasobów mieszkaniowych jest uzależniona od przychodów, którymi są wpływu z czynszu za lokale mieszkalne.</w:t>
      </w:r>
    </w:p>
    <w:p w14:paraId="28C7896F" w14:textId="77777777" w:rsidR="009E53BF" w:rsidRDefault="009E53BF" w:rsidP="009E53BF">
      <w:pPr>
        <w:pStyle w:val="Akapitzlist"/>
        <w:numPr>
          <w:ilvl w:val="0"/>
          <w:numId w:val="20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Podział planowanych wydatków na koszty bieżącej eksploatacj</w:t>
      </w:r>
      <w:r w:rsidR="001F3947">
        <w:rPr>
          <w:rFonts w:ascii="Arial" w:hAnsi="Arial" w:cs="Arial"/>
          <w:sz w:val="20"/>
          <w:szCs w:val="20"/>
        </w:rPr>
        <w:t xml:space="preserve">i, koszty remontów na okres </w:t>
      </w:r>
      <w:r w:rsidR="001F3947">
        <w:rPr>
          <w:rFonts w:ascii="Arial" w:hAnsi="Arial" w:cs="Arial"/>
          <w:sz w:val="20"/>
          <w:szCs w:val="20"/>
        </w:rPr>
        <w:br/>
        <w:t>2022-2026</w:t>
      </w:r>
      <w:r>
        <w:rPr>
          <w:rFonts w:ascii="Arial" w:hAnsi="Arial" w:cs="Arial"/>
          <w:sz w:val="20"/>
          <w:szCs w:val="20"/>
        </w:rPr>
        <w:t xml:space="preserve"> przedstawia poniższy wykres:</w:t>
      </w:r>
    </w:p>
    <w:p w14:paraId="09F04031" w14:textId="77777777" w:rsidR="009E53BF" w:rsidRDefault="009E53BF" w:rsidP="009E53BF">
      <w:pPr>
        <w:pStyle w:val="Akapitzlist"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14:paraId="60DB5B9C" w14:textId="77777777" w:rsidR="009E53BF" w:rsidRPr="009E53BF" w:rsidRDefault="001F3947" w:rsidP="009E53BF">
      <w:pPr>
        <w:pStyle w:val="Akapitzlist"/>
        <w:spacing w:after="0"/>
        <w:ind w:left="426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7A972ED7" wp14:editId="77EFA129">
            <wp:extent cx="4772025" cy="2381250"/>
            <wp:effectExtent l="0" t="0" r="0" b="0"/>
            <wp:docPr id="7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A565845" w14:textId="77777777" w:rsidR="009E53BF" w:rsidRDefault="009E53BF" w:rsidP="009E53BF">
      <w:pPr>
        <w:tabs>
          <w:tab w:val="left" w:pos="1620"/>
        </w:tabs>
        <w:jc w:val="center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Wykres nr 5</w:t>
      </w:r>
      <w:r w:rsidRPr="009E53BF">
        <w:rPr>
          <w:rFonts w:ascii="Arial" w:hAnsi="Arial" w:cs="Arial"/>
          <w:i/>
          <w:sz w:val="18"/>
          <w:szCs w:val="20"/>
        </w:rPr>
        <w:t xml:space="preserve">- Prognozowana wysokość </w:t>
      </w:r>
      <w:r>
        <w:rPr>
          <w:rFonts w:ascii="Arial" w:hAnsi="Arial" w:cs="Arial"/>
          <w:i/>
          <w:sz w:val="18"/>
          <w:szCs w:val="20"/>
        </w:rPr>
        <w:t>wydatków</w:t>
      </w:r>
      <w:r w:rsidR="001F3947">
        <w:rPr>
          <w:rFonts w:ascii="Arial" w:hAnsi="Arial" w:cs="Arial"/>
          <w:i/>
          <w:sz w:val="18"/>
          <w:szCs w:val="20"/>
        </w:rPr>
        <w:t xml:space="preserve"> w latach 2022-2026</w:t>
      </w:r>
    </w:p>
    <w:p w14:paraId="3D853EC9" w14:textId="77777777" w:rsidR="009E53BF" w:rsidRDefault="009E53BF" w:rsidP="009E53BF">
      <w:pPr>
        <w:tabs>
          <w:tab w:val="left" w:pos="1620"/>
        </w:tabs>
        <w:jc w:val="center"/>
        <w:rPr>
          <w:rFonts w:ascii="Arial" w:hAnsi="Arial" w:cs="Arial"/>
          <w:i/>
          <w:sz w:val="20"/>
          <w:szCs w:val="20"/>
        </w:rPr>
      </w:pPr>
    </w:p>
    <w:p w14:paraId="3BC67831" w14:textId="77777777" w:rsidR="009E53BF" w:rsidRDefault="009E53BF" w:rsidP="009E53BF">
      <w:pPr>
        <w:pStyle w:val="Akapitzlist"/>
        <w:numPr>
          <w:ilvl w:val="0"/>
          <w:numId w:val="22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Gmina Dzierzążnia nie ponosi kosztów zarządu nieruchomościami wspólnymi, ponieważ Mieszkaniowy Zasób Gminy Dzierzążnia, stanowi w całości własność Gminy Dzierzążnia.</w:t>
      </w:r>
    </w:p>
    <w:p w14:paraId="47FDBB1B" w14:textId="77777777" w:rsidR="009E53BF" w:rsidRDefault="009E53BF" w:rsidP="0004157D">
      <w:pPr>
        <w:pStyle w:val="Nagwek2"/>
      </w:pPr>
    </w:p>
    <w:p w14:paraId="6BFFC356" w14:textId="49F2640B" w:rsidR="009E53BF" w:rsidRPr="0004157D" w:rsidRDefault="009E53BF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8" w:name="_Toc92100391"/>
      <w:r w:rsidRPr="0004157D">
        <w:rPr>
          <w:rFonts w:ascii="Arial" w:hAnsi="Arial" w:cs="Arial"/>
          <w:b/>
          <w:color w:val="auto"/>
          <w:sz w:val="20"/>
          <w:szCs w:val="20"/>
        </w:rPr>
        <w:t>Rozdział 10</w:t>
      </w:r>
      <w:bookmarkEnd w:id="18"/>
    </w:p>
    <w:p w14:paraId="4DF5B3DA" w14:textId="77777777" w:rsidR="009E53BF" w:rsidRPr="0004157D" w:rsidRDefault="009E53BF" w:rsidP="0004157D">
      <w:pPr>
        <w:pStyle w:val="Nagwek2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19" w:name="_Toc92100392"/>
      <w:r w:rsidRPr="0004157D">
        <w:rPr>
          <w:rFonts w:ascii="Arial" w:hAnsi="Arial" w:cs="Arial"/>
          <w:b/>
          <w:color w:val="auto"/>
          <w:sz w:val="20"/>
          <w:szCs w:val="20"/>
        </w:rPr>
        <w:t>Działania mające na celu poprawę wykorzystania i racjonalizację gospodarowania mieszkaniowym zasobem gminy</w:t>
      </w:r>
      <w:bookmarkEnd w:id="19"/>
    </w:p>
    <w:p w14:paraId="6601848A" w14:textId="77777777" w:rsidR="009E53BF" w:rsidRDefault="009E53BF" w:rsidP="009E53BF">
      <w:pPr>
        <w:spacing w:after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11.</w:t>
      </w:r>
    </w:p>
    <w:p w14:paraId="634693DF" w14:textId="77777777" w:rsidR="009E53BF" w:rsidRDefault="009E53BF" w:rsidP="009E53BF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Ustala się następujące kierunki polityki gminy w zakresie gospodarowania mieszkaniowym zasobem:</w:t>
      </w:r>
    </w:p>
    <w:p w14:paraId="25A3C7E0" w14:textId="77777777" w:rsid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Podejmowanie działań mających na celu zwiększenie zasobów mieszkaniowych poprzez pozyskiwanie lokali, adaptację lub budowę nowych mieszkań uwzględniając potrzeby mieszkańców,</w:t>
      </w:r>
    </w:p>
    <w:p w14:paraId="1737AB81" w14:textId="77777777" w:rsid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Dokonywanie remontów istniejącej substancji mieszkaniowej celem utrzymania stanu zasobu mieszkaniowego w dostatecznym stanie technicznym,</w:t>
      </w:r>
    </w:p>
    <w:p w14:paraId="4DBB2025" w14:textId="77777777" w:rsid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Sprawowanie kontroli nad terminowością regulowania opłat za czynsz oraz uruchomianie procesu windykacji w momencie pojawienia się zaległości</w:t>
      </w:r>
      <w:r w:rsidRPr="009E53BF">
        <w:rPr>
          <w:rFonts w:ascii="Arial" w:hAnsi="Arial" w:cs="Arial"/>
          <w:sz w:val="20"/>
        </w:rPr>
        <w:t xml:space="preserve"> czynszowych obejmujących dwa kolejne okresy płatności</w:t>
      </w:r>
    </w:p>
    <w:p w14:paraId="1ECD12B2" w14:textId="77777777" w:rsid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Poszukiwanie i pozyskiwanie funduszy zewnętrznych na finansowanie budownictwa komunalnego,</w:t>
      </w:r>
    </w:p>
    <w:p w14:paraId="3C52F5AE" w14:textId="77777777" w:rsid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Wspieranie najemców w zakresie wykonywania ulepszeń w lokalu, mającym na celu podniesienia standardu technicznego lokalu.</w:t>
      </w:r>
    </w:p>
    <w:p w14:paraId="55A7E4D5" w14:textId="77777777" w:rsid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Urealnienie opłat za lokale mieszkalne,</w:t>
      </w:r>
    </w:p>
    <w:p w14:paraId="2502AA4E" w14:textId="77777777" w:rsidR="009E53BF" w:rsidRPr="009E53BF" w:rsidRDefault="009E53BF" w:rsidP="00691D7D">
      <w:pPr>
        <w:pStyle w:val="Akapitzlist"/>
        <w:numPr>
          <w:ilvl w:val="0"/>
          <w:numId w:val="24"/>
        </w:numPr>
        <w:spacing w:after="0" w:line="276" w:lineRule="auto"/>
        <w:ind w:left="709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Nie przewiduje się zbywania l</w:t>
      </w:r>
      <w:r w:rsidR="001F3947">
        <w:rPr>
          <w:rFonts w:ascii="Arial" w:hAnsi="Arial" w:cs="Arial"/>
          <w:sz w:val="20"/>
        </w:rPr>
        <w:t>okali mieszkalnych w latach 2022-2026</w:t>
      </w:r>
      <w:r>
        <w:rPr>
          <w:rFonts w:ascii="Arial" w:hAnsi="Arial" w:cs="Arial"/>
          <w:sz w:val="20"/>
        </w:rPr>
        <w:t>.</w:t>
      </w:r>
    </w:p>
    <w:sectPr w:rsidR="009E53BF" w:rsidRPr="009E53BF" w:rsidSect="00C66873">
      <w:headerReference w:type="default" r:id="rId15"/>
      <w:footerReference w:type="default" r:id="rId16"/>
      <w:pgSz w:w="11906" w:h="16838"/>
      <w:pgMar w:top="1417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763A8" w14:textId="77777777" w:rsidR="003E2E53" w:rsidRDefault="003E2E53" w:rsidP="003E2E53">
      <w:pPr>
        <w:spacing w:after="0" w:line="240" w:lineRule="auto"/>
      </w:pPr>
      <w:r>
        <w:separator/>
      </w:r>
    </w:p>
  </w:endnote>
  <w:endnote w:type="continuationSeparator" w:id="0">
    <w:p w14:paraId="19A39896" w14:textId="77777777" w:rsidR="003E2E53" w:rsidRDefault="003E2E53" w:rsidP="003E2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290554"/>
      <w:docPartObj>
        <w:docPartGallery w:val="Page Numbers (Bottom of Page)"/>
        <w:docPartUnique/>
      </w:docPartObj>
    </w:sdtPr>
    <w:sdtEndPr/>
    <w:sdtContent>
      <w:p w14:paraId="0AF8D1AC" w14:textId="77777777" w:rsidR="0004157D" w:rsidRDefault="000415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3BC">
          <w:rPr>
            <w:noProof/>
          </w:rPr>
          <w:t>13</w:t>
        </w:r>
        <w:r>
          <w:fldChar w:fldCharType="end"/>
        </w:r>
      </w:p>
    </w:sdtContent>
  </w:sdt>
  <w:p w14:paraId="06906491" w14:textId="77777777" w:rsidR="0004157D" w:rsidRDefault="000415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09395" w14:textId="77777777" w:rsidR="003E2E53" w:rsidRDefault="003E2E53" w:rsidP="003E2E53">
      <w:pPr>
        <w:spacing w:after="0" w:line="240" w:lineRule="auto"/>
      </w:pPr>
      <w:r>
        <w:separator/>
      </w:r>
    </w:p>
  </w:footnote>
  <w:footnote w:type="continuationSeparator" w:id="0">
    <w:p w14:paraId="7B695610" w14:textId="77777777" w:rsidR="003E2E53" w:rsidRDefault="003E2E53" w:rsidP="003E2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96FB" w14:textId="38A4D222" w:rsidR="003E2E53" w:rsidRPr="002D0658" w:rsidRDefault="003E2E53" w:rsidP="003E2E53">
    <w:pPr>
      <w:tabs>
        <w:tab w:val="left" w:pos="5430"/>
      </w:tabs>
      <w:spacing w:after="0"/>
      <w:ind w:left="5387"/>
      <w:jc w:val="right"/>
      <w:rPr>
        <w:rFonts w:ascii="Arial" w:hAnsi="Arial" w:cs="Arial"/>
        <w:sz w:val="16"/>
        <w:szCs w:val="20"/>
      </w:rPr>
    </w:pPr>
    <w:r w:rsidRPr="002D0658">
      <w:rPr>
        <w:rFonts w:ascii="Arial" w:hAnsi="Arial" w:cs="Arial"/>
        <w:sz w:val="16"/>
        <w:szCs w:val="20"/>
      </w:rPr>
      <w:t xml:space="preserve">Załącznik do uchwały Nr </w:t>
    </w:r>
    <w:r w:rsidR="002D0658" w:rsidRPr="002D0658">
      <w:rPr>
        <w:rFonts w:ascii="Arial" w:hAnsi="Arial" w:cs="Arial"/>
        <w:sz w:val="16"/>
        <w:szCs w:val="20"/>
      </w:rPr>
      <w:t>233/XXX/2021</w:t>
    </w:r>
  </w:p>
  <w:p w14:paraId="50A3073B" w14:textId="0292E499" w:rsidR="003E2E53" w:rsidRPr="002D0658" w:rsidRDefault="003E2E53" w:rsidP="003E2E53">
    <w:pPr>
      <w:tabs>
        <w:tab w:val="left" w:pos="5430"/>
      </w:tabs>
      <w:spacing w:after="0"/>
      <w:ind w:left="5387"/>
      <w:jc w:val="right"/>
      <w:rPr>
        <w:rFonts w:ascii="Arial" w:hAnsi="Arial" w:cs="Arial"/>
        <w:sz w:val="16"/>
        <w:szCs w:val="20"/>
      </w:rPr>
    </w:pPr>
    <w:r w:rsidRPr="002D0658">
      <w:rPr>
        <w:rFonts w:ascii="Arial" w:hAnsi="Arial" w:cs="Arial"/>
        <w:sz w:val="16"/>
        <w:szCs w:val="20"/>
      </w:rPr>
      <w:t xml:space="preserve">Rady </w:t>
    </w:r>
    <w:r w:rsidR="002D0658" w:rsidRPr="002D0658">
      <w:rPr>
        <w:rFonts w:ascii="Arial" w:hAnsi="Arial" w:cs="Arial"/>
        <w:sz w:val="16"/>
        <w:szCs w:val="20"/>
      </w:rPr>
      <w:t xml:space="preserve">Gminy </w:t>
    </w:r>
    <w:r w:rsidRPr="002D0658">
      <w:rPr>
        <w:rFonts w:ascii="Arial" w:hAnsi="Arial" w:cs="Arial"/>
        <w:sz w:val="16"/>
        <w:szCs w:val="20"/>
      </w:rPr>
      <w:t xml:space="preserve">w </w:t>
    </w:r>
    <w:r w:rsidR="006E7E6A" w:rsidRPr="002D0658">
      <w:rPr>
        <w:rFonts w:ascii="Arial" w:hAnsi="Arial" w:cs="Arial"/>
        <w:sz w:val="16"/>
        <w:szCs w:val="20"/>
      </w:rPr>
      <w:t>Dzierzążni</w:t>
    </w:r>
  </w:p>
  <w:p w14:paraId="19593994" w14:textId="29CBF0D9" w:rsidR="003E2E53" w:rsidRPr="002D0658" w:rsidRDefault="003E2E53" w:rsidP="003E2E53">
    <w:pPr>
      <w:tabs>
        <w:tab w:val="left" w:pos="5430"/>
      </w:tabs>
      <w:spacing w:after="0"/>
      <w:ind w:left="5387"/>
      <w:jc w:val="right"/>
      <w:rPr>
        <w:rFonts w:ascii="Arial" w:hAnsi="Arial" w:cs="Arial"/>
        <w:sz w:val="16"/>
        <w:szCs w:val="20"/>
      </w:rPr>
    </w:pPr>
    <w:r w:rsidRPr="002D0658">
      <w:rPr>
        <w:rFonts w:ascii="Arial" w:hAnsi="Arial" w:cs="Arial"/>
        <w:sz w:val="16"/>
        <w:szCs w:val="20"/>
      </w:rPr>
      <w:t>z dnia</w:t>
    </w:r>
    <w:r w:rsidR="002D0658" w:rsidRPr="002D0658">
      <w:rPr>
        <w:rFonts w:ascii="Arial" w:hAnsi="Arial" w:cs="Arial"/>
        <w:sz w:val="16"/>
        <w:szCs w:val="20"/>
      </w:rPr>
      <w:t xml:space="preserve"> 29 grudnia 2021 roku </w:t>
    </w:r>
  </w:p>
  <w:p w14:paraId="0F029FC3" w14:textId="77777777" w:rsidR="003E2E53" w:rsidRDefault="003E2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0851"/>
    <w:multiLevelType w:val="hybridMultilevel"/>
    <w:tmpl w:val="41C0F85A"/>
    <w:lvl w:ilvl="0" w:tplc="4A645B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A7348"/>
    <w:multiLevelType w:val="hybridMultilevel"/>
    <w:tmpl w:val="BA6E9B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426D77"/>
    <w:multiLevelType w:val="hybridMultilevel"/>
    <w:tmpl w:val="8C32D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35C98"/>
    <w:multiLevelType w:val="hybridMultilevel"/>
    <w:tmpl w:val="D7F20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25AEF"/>
    <w:multiLevelType w:val="hybridMultilevel"/>
    <w:tmpl w:val="6356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4694B"/>
    <w:multiLevelType w:val="hybridMultilevel"/>
    <w:tmpl w:val="480C75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5801538"/>
    <w:multiLevelType w:val="hybridMultilevel"/>
    <w:tmpl w:val="92F8BBFA"/>
    <w:lvl w:ilvl="0" w:tplc="F56E1CF4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BF40801"/>
    <w:multiLevelType w:val="hybridMultilevel"/>
    <w:tmpl w:val="5B08C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251E3"/>
    <w:multiLevelType w:val="hybridMultilevel"/>
    <w:tmpl w:val="4DA885B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A7F1844"/>
    <w:multiLevelType w:val="hybridMultilevel"/>
    <w:tmpl w:val="4AE2419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4B70C7"/>
    <w:multiLevelType w:val="hybridMultilevel"/>
    <w:tmpl w:val="A2262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D3ECB"/>
    <w:multiLevelType w:val="hybridMultilevel"/>
    <w:tmpl w:val="6356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B17AD"/>
    <w:multiLevelType w:val="hybridMultilevel"/>
    <w:tmpl w:val="012405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9193D6A"/>
    <w:multiLevelType w:val="hybridMultilevel"/>
    <w:tmpl w:val="AF82A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D04FB"/>
    <w:multiLevelType w:val="hybridMultilevel"/>
    <w:tmpl w:val="846C8FCA"/>
    <w:lvl w:ilvl="0" w:tplc="B67424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47F95"/>
    <w:multiLevelType w:val="hybridMultilevel"/>
    <w:tmpl w:val="653C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01995"/>
    <w:multiLevelType w:val="hybridMultilevel"/>
    <w:tmpl w:val="6C3CD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58D"/>
    <w:multiLevelType w:val="hybridMultilevel"/>
    <w:tmpl w:val="E5989CDC"/>
    <w:lvl w:ilvl="0" w:tplc="30AA5DB8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12A17"/>
    <w:multiLevelType w:val="hybridMultilevel"/>
    <w:tmpl w:val="2BCC825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51B7864"/>
    <w:multiLevelType w:val="hybridMultilevel"/>
    <w:tmpl w:val="E49238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B875CA3"/>
    <w:multiLevelType w:val="hybridMultilevel"/>
    <w:tmpl w:val="653C1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76C9D"/>
    <w:multiLevelType w:val="hybridMultilevel"/>
    <w:tmpl w:val="191486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F5841F9"/>
    <w:multiLevelType w:val="hybridMultilevel"/>
    <w:tmpl w:val="491C204C"/>
    <w:lvl w:ilvl="0" w:tplc="522835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937A6"/>
    <w:multiLevelType w:val="hybridMultilevel"/>
    <w:tmpl w:val="6BDC56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20"/>
  </w:num>
  <w:num w:numId="3">
    <w:abstractNumId w:val="15"/>
  </w:num>
  <w:num w:numId="4">
    <w:abstractNumId w:val="6"/>
  </w:num>
  <w:num w:numId="5">
    <w:abstractNumId w:val="1"/>
  </w:num>
  <w:num w:numId="6">
    <w:abstractNumId w:val="13"/>
  </w:num>
  <w:num w:numId="7">
    <w:abstractNumId w:val="18"/>
  </w:num>
  <w:num w:numId="8">
    <w:abstractNumId w:val="23"/>
  </w:num>
  <w:num w:numId="9">
    <w:abstractNumId w:val="8"/>
  </w:num>
  <w:num w:numId="10">
    <w:abstractNumId w:val="0"/>
  </w:num>
  <w:num w:numId="11">
    <w:abstractNumId w:val="3"/>
  </w:num>
  <w:num w:numId="12">
    <w:abstractNumId w:val="12"/>
  </w:num>
  <w:num w:numId="13">
    <w:abstractNumId w:val="9"/>
  </w:num>
  <w:num w:numId="14">
    <w:abstractNumId w:val="10"/>
  </w:num>
  <w:num w:numId="15">
    <w:abstractNumId w:val="19"/>
  </w:num>
  <w:num w:numId="16">
    <w:abstractNumId w:val="4"/>
  </w:num>
  <w:num w:numId="17">
    <w:abstractNumId w:val="5"/>
  </w:num>
  <w:num w:numId="18">
    <w:abstractNumId w:val="2"/>
  </w:num>
  <w:num w:numId="19">
    <w:abstractNumId w:val="22"/>
  </w:num>
  <w:num w:numId="20">
    <w:abstractNumId w:val="14"/>
  </w:num>
  <w:num w:numId="21">
    <w:abstractNumId w:val="16"/>
  </w:num>
  <w:num w:numId="22">
    <w:abstractNumId w:val="17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13E"/>
    <w:rsid w:val="0004157D"/>
    <w:rsid w:val="00093C6A"/>
    <w:rsid w:val="00135D4F"/>
    <w:rsid w:val="00157381"/>
    <w:rsid w:val="001F3947"/>
    <w:rsid w:val="0028613E"/>
    <w:rsid w:val="002D0658"/>
    <w:rsid w:val="003E2E53"/>
    <w:rsid w:val="004E3861"/>
    <w:rsid w:val="004F0738"/>
    <w:rsid w:val="00506C5F"/>
    <w:rsid w:val="005637E1"/>
    <w:rsid w:val="00691D7D"/>
    <w:rsid w:val="006E7E6A"/>
    <w:rsid w:val="00745606"/>
    <w:rsid w:val="0087423B"/>
    <w:rsid w:val="008C59B4"/>
    <w:rsid w:val="00907BE7"/>
    <w:rsid w:val="009253BC"/>
    <w:rsid w:val="009E53BF"/>
    <w:rsid w:val="00A52FAC"/>
    <w:rsid w:val="00B37336"/>
    <w:rsid w:val="00BC2678"/>
    <w:rsid w:val="00C66873"/>
    <w:rsid w:val="00D91D53"/>
    <w:rsid w:val="00D948C9"/>
    <w:rsid w:val="00DE6086"/>
    <w:rsid w:val="00E14A3F"/>
    <w:rsid w:val="00E31171"/>
    <w:rsid w:val="00EA715E"/>
    <w:rsid w:val="00EB5FEF"/>
    <w:rsid w:val="00EE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75ACF3"/>
  <w15:chartTrackingRefBased/>
  <w15:docId w15:val="{D4D7FB26-FB0C-4238-81AD-6A0B384F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13E"/>
  </w:style>
  <w:style w:type="paragraph" w:styleId="Nagwek1">
    <w:name w:val="heading 1"/>
    <w:basedOn w:val="Normalny"/>
    <w:next w:val="Normalny"/>
    <w:link w:val="Nagwek1Znak"/>
    <w:uiPriority w:val="9"/>
    <w:qFormat/>
    <w:rsid w:val="000415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15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E53"/>
  </w:style>
  <w:style w:type="paragraph" w:styleId="Stopka">
    <w:name w:val="footer"/>
    <w:basedOn w:val="Normalny"/>
    <w:link w:val="StopkaZnak"/>
    <w:uiPriority w:val="99"/>
    <w:unhideWhenUsed/>
    <w:rsid w:val="003E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E53"/>
  </w:style>
  <w:style w:type="paragraph" w:styleId="Akapitzlist">
    <w:name w:val="List Paragraph"/>
    <w:basedOn w:val="Normalny"/>
    <w:uiPriority w:val="34"/>
    <w:qFormat/>
    <w:rsid w:val="003E2E53"/>
    <w:pPr>
      <w:ind w:left="720"/>
      <w:contextualSpacing/>
    </w:pPr>
  </w:style>
  <w:style w:type="table" w:styleId="Tabela-Siatka">
    <w:name w:val="Table Grid"/>
    <w:basedOn w:val="Standardowy"/>
    <w:uiPriority w:val="39"/>
    <w:rsid w:val="003E2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0415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15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4157D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4157D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04157D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04157D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4157D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050" b="1">
                <a:latin typeface="Arial" panose="020B0604020202020204" pitchFamily="34" charset="0"/>
                <a:cs typeface="Arial" panose="020B0604020202020204" pitchFamily="34" charset="0"/>
              </a:rPr>
              <a:t>Wielkość Mieszkaniowego Zasobu Gminy Dzierzążnia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'[Wykres w programie Microsoft Word]Arkusz1'!$C$1</c:f>
              <c:strCache>
                <c:ptCount val="1"/>
                <c:pt idx="0">
                  <c:v>Ilość budynków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'[Wykres w programie Microsoft Word]Arkusz1'!$B$2:$B$4</c:f>
              <c:strCache>
                <c:ptCount val="3"/>
                <c:pt idx="0">
                  <c:v>Lok. mieszkalny związany ze stosunkiem pracy</c:v>
                </c:pt>
                <c:pt idx="1">
                  <c:v>Lok. mieszkalne socjalne</c:v>
                </c:pt>
                <c:pt idx="2">
                  <c:v>Lok .mieszkalne pozostałe</c:v>
                </c:pt>
              </c:strCache>
            </c:strRef>
          </c:cat>
          <c:val>
            <c:numRef>
              <c:f>'[Wykres w programie Microsoft Word]Arkusz1'!$C$2:$C$4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E8-411E-912D-9B64AD672BEA}"/>
            </c:ext>
          </c:extLst>
        </c:ser>
        <c:ser>
          <c:idx val="1"/>
          <c:order val="1"/>
          <c:tx>
            <c:strRef>
              <c:f>'[Wykres w programie Microsoft Word]Arkusz1'!$D$1</c:f>
              <c:strCache>
                <c:ptCount val="1"/>
                <c:pt idx="0">
                  <c:v>Ilość lokali</c:v>
                </c:pt>
              </c:strCache>
            </c:strRef>
          </c:tx>
          <c:spPr>
            <a:noFill/>
            <a:ln w="25400" cap="flat" cmpd="sng" algn="ctr">
              <a:solidFill>
                <a:schemeClr val="accent5"/>
              </a:solidFill>
              <a:miter lim="800000"/>
            </a:ln>
            <a:effectLst/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96E8-411E-912D-9B64AD672BE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'[Wykres w programie Microsoft Word]Arkusz1'!$B$2:$B$4</c:f>
              <c:strCache>
                <c:ptCount val="3"/>
                <c:pt idx="0">
                  <c:v>Lok. mieszkalny związany ze stosunkiem pracy</c:v>
                </c:pt>
                <c:pt idx="1">
                  <c:v>Lok. mieszkalne socjalne</c:v>
                </c:pt>
                <c:pt idx="2">
                  <c:v>Lok .mieszkalne pozostałe</c:v>
                </c:pt>
              </c:strCache>
            </c:strRef>
          </c:cat>
          <c:val>
            <c:numRef>
              <c:f>'[Wykres w programie Microsoft Word]Arkusz1'!$D$2:$D$4</c:f>
              <c:numCache>
                <c:formatCode>General</c:formatCode>
                <c:ptCount val="3"/>
                <c:pt idx="0">
                  <c:v>6</c:v>
                </c:pt>
                <c:pt idx="1">
                  <c:v>5</c:v>
                </c:pt>
                <c:pt idx="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6E8-411E-912D-9B64AD672BEA}"/>
            </c:ext>
          </c:extLst>
        </c:ser>
        <c:ser>
          <c:idx val="2"/>
          <c:order val="2"/>
          <c:tx>
            <c:strRef>
              <c:f>'[Wykres w programie Microsoft Word]Arkusz1'!$E$1</c:f>
              <c:strCache>
                <c:ptCount val="1"/>
                <c:pt idx="0">
                  <c:v>Powierzchnia użytkowa [m2]</c:v>
                </c:pt>
              </c:strCache>
            </c:strRef>
          </c:tx>
          <c:spPr>
            <a:noFill/>
            <a:ln w="25400" cap="flat" cmpd="sng" algn="ctr">
              <a:solidFill>
                <a:schemeClr val="accent4"/>
              </a:solidFill>
              <a:miter lim="800000"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287,10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6E8-411E-912D-9B64AD672BE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'[Wykres w programie Microsoft Word]Arkusz1'!$B$2:$B$4</c:f>
              <c:strCache>
                <c:ptCount val="3"/>
                <c:pt idx="0">
                  <c:v>Lok. mieszkalny związany ze stosunkiem pracy</c:v>
                </c:pt>
                <c:pt idx="1">
                  <c:v>Lok. mieszkalne socjalne</c:v>
                </c:pt>
                <c:pt idx="2">
                  <c:v>Lok .mieszkalne pozostałe</c:v>
                </c:pt>
              </c:strCache>
            </c:strRef>
          </c:cat>
          <c:val>
            <c:numRef>
              <c:f>'[Wykres w programie Microsoft Word]Arkusz1'!$E$2:$E$4</c:f>
              <c:numCache>
                <c:formatCode>General</c:formatCode>
                <c:ptCount val="3"/>
                <c:pt idx="0">
                  <c:v>236.1</c:v>
                </c:pt>
                <c:pt idx="1">
                  <c:v>193.26</c:v>
                </c:pt>
                <c:pt idx="2">
                  <c:v>627.15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6E8-411E-912D-9B64AD672BE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35"/>
        <c:axId val="987818416"/>
        <c:axId val="987827664"/>
      </c:barChart>
      <c:catAx>
        <c:axId val="987818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987827664"/>
        <c:crosses val="autoZero"/>
        <c:auto val="1"/>
        <c:lblAlgn val="ctr"/>
        <c:lblOffset val="100"/>
        <c:noMultiLvlLbl val="0"/>
      </c:catAx>
      <c:valAx>
        <c:axId val="9878276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9878184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050" b="1">
                <a:latin typeface="Arial" panose="020B0604020202020204" pitchFamily="34" charset="0"/>
                <a:cs typeface="Arial" panose="020B0604020202020204" pitchFamily="34" charset="0"/>
              </a:rPr>
              <a:t>Wyposażenie techniczne lokali</a:t>
            </a:r>
            <a:r>
              <a:rPr lang="pl-PL" sz="1050" b="1" baseline="0">
                <a:latin typeface="Arial" panose="020B0604020202020204" pitchFamily="34" charset="0"/>
                <a:cs typeface="Arial" panose="020B0604020202020204" pitchFamily="34" charset="0"/>
              </a:rPr>
              <a:t> należących do zasobów gminy</a:t>
            </a:r>
            <a:endParaRPr lang="pl-PL" sz="1050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>
        <c:manualLayout>
          <c:layoutTarget val="inner"/>
          <c:xMode val="edge"/>
          <c:yMode val="edge"/>
          <c:x val="0.12470227806889994"/>
          <c:y val="0.36808239879106019"/>
          <c:w val="0.82986218186141369"/>
          <c:h val="0.5139448023542512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'[Wykres w programie Microsoft Word]Arkusz1'!$A$4</c:f>
              <c:strCache>
                <c:ptCount val="1"/>
                <c:pt idx="0">
                  <c:v>instalacja wodna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-9.57026713124274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5668-4A34-847E-5C0B100273D5}"/>
                </c:ext>
              </c:extLst>
            </c:dLbl>
            <c:dLbl>
              <c:idx val="1"/>
              <c:layout>
                <c:manualLayout>
                  <c:x val="-5.3199447630021641E-3"/>
                  <c:y val="-7.4073218373934501E-1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1-5668-4A34-847E-5C0B100273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'[Wykres w programie Microsoft Word]Arkusz1'!$B$2:$C$3</c:f>
              <c:strCache>
                <c:ptCount val="2"/>
                <c:pt idx="0">
                  <c:v>ilość</c:v>
                </c:pt>
                <c:pt idx="1">
                  <c:v>Wskażnik %</c:v>
                </c:pt>
              </c:strCache>
              <c:extLst/>
            </c:strRef>
          </c:cat>
          <c:val>
            <c:numRef>
              <c:f>'[Wykres w programie Microsoft Word]Arkusz1'!$B$4:$C$4</c:f>
              <c:numCache>
                <c:formatCode>0%</c:formatCode>
                <c:ptCount val="2"/>
                <c:pt idx="0" formatCode="General">
                  <c:v>23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668-4A34-847E-5C0B100273D5}"/>
            </c:ext>
          </c:extLst>
        </c:ser>
        <c:ser>
          <c:idx val="1"/>
          <c:order val="1"/>
          <c:tx>
            <c:strRef>
              <c:f>'[Wykres w programie Microsoft Word]Arkusz1'!$A$5</c:f>
              <c:strCache>
                <c:ptCount val="1"/>
                <c:pt idx="0">
                  <c:v>instalacja elektryczna</c:v>
                </c:pt>
              </c:strCache>
            </c:strRef>
          </c:tx>
          <c:spPr>
            <a:noFill/>
            <a:ln w="25400" cap="flat" cmpd="sng" algn="ctr">
              <a:solidFill>
                <a:schemeClr val="accent5"/>
              </a:solidFill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-7.247386759581881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5668-4A34-847E-5C0B100273D5}"/>
                </c:ext>
              </c:extLst>
            </c:dLbl>
            <c:dLbl>
              <c:idx val="1"/>
              <c:layout>
                <c:manualLayout>
                  <c:x val="-5.319944763002206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668-4A34-847E-5C0B100273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'[Wykres w programie Microsoft Word]Arkusz1'!$B$2:$C$3</c:f>
              <c:strCache>
                <c:ptCount val="2"/>
                <c:pt idx="0">
                  <c:v>ilość</c:v>
                </c:pt>
                <c:pt idx="1">
                  <c:v>Wskażnik %</c:v>
                </c:pt>
              </c:strCache>
              <c:extLst/>
            </c:strRef>
          </c:cat>
          <c:val>
            <c:numRef>
              <c:f>'[Wykres w programie Microsoft Word]Arkusz1'!$B$5:$C$5</c:f>
              <c:numCache>
                <c:formatCode>0%</c:formatCode>
                <c:ptCount val="2"/>
                <c:pt idx="0" formatCode="General">
                  <c:v>23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668-4A34-847E-5C0B100273D5}"/>
            </c:ext>
          </c:extLst>
        </c:ser>
        <c:ser>
          <c:idx val="2"/>
          <c:order val="2"/>
          <c:tx>
            <c:strRef>
              <c:f>'[Wykres w programie Microsoft Word]Arkusz1'!$A$6</c:f>
              <c:strCache>
                <c:ptCount val="1"/>
                <c:pt idx="0">
                  <c:v>centralne ogrzewanie z sieci gazowej</c:v>
                </c:pt>
              </c:strCache>
            </c:strRef>
          </c:tx>
          <c:spPr>
            <a:noFill/>
            <a:ln w="25400" cap="flat" cmpd="sng" algn="ctr">
              <a:solidFill>
                <a:schemeClr val="accent4"/>
              </a:solidFill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-3.6236933797908983E-3"/>
                  <c:y val="1.8226888297140907E-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2.9175377468060395E-2"/>
                      <c:h val="6.474555263925341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5668-4A34-847E-5C0B100273D5}"/>
                </c:ext>
              </c:extLst>
            </c:dLbl>
            <c:dLbl>
              <c:idx val="1"/>
              <c:layout>
                <c:manualLayout>
                  <c:x val="1.8348560088525541E-2"/>
                  <c:y val="-7.407321837393450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668-4A34-847E-5C0B100273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'[Wykres w programie Microsoft Word]Arkusz1'!$B$2:$C$3</c:f>
              <c:strCache>
                <c:ptCount val="2"/>
                <c:pt idx="0">
                  <c:v>ilość</c:v>
                </c:pt>
                <c:pt idx="1">
                  <c:v>Wskażnik %</c:v>
                </c:pt>
              </c:strCache>
              <c:extLst/>
            </c:strRef>
          </c:cat>
          <c:val>
            <c:numRef>
              <c:f>'[Wykres w programie Microsoft Word]Arkusz1'!$B$6:$C$6</c:f>
              <c:numCache>
                <c:formatCode>0.0%</c:formatCode>
                <c:ptCount val="2"/>
                <c:pt idx="0" formatCode="General">
                  <c:v>5</c:v>
                </c:pt>
                <c:pt idx="1">
                  <c:v>0.217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668-4A34-847E-5C0B100273D5}"/>
            </c:ext>
          </c:extLst>
        </c:ser>
        <c:ser>
          <c:idx val="3"/>
          <c:order val="3"/>
          <c:tx>
            <c:strRef>
              <c:f>'[Wykres w programie Microsoft Word]Arkusz1'!$A$7</c:f>
              <c:strCache>
                <c:ptCount val="1"/>
                <c:pt idx="0">
                  <c:v>ogrzewanie olejem opałowym</c:v>
                </c:pt>
              </c:strCache>
            </c:strRef>
          </c:tx>
          <c:spPr>
            <a:noFill/>
            <a:ln w="25400" cap="flat" cmpd="sng" algn="ctr">
              <a:solidFill>
                <a:schemeClr val="accent6">
                  <a:lumMod val="60000"/>
                </a:schemeClr>
              </a:solidFill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1.0220673635307357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668-4A34-847E-5C0B100273D5}"/>
                </c:ext>
              </c:extLst>
            </c:dLbl>
            <c:dLbl>
              <c:idx val="1"/>
              <c:layout>
                <c:manualLayout>
                  <c:x val="2.0340932993131913E-2"/>
                  <c:y val="-7.4073218373934501E-1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A-5668-4A34-847E-5C0B100273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'[Wykres w programie Microsoft Word]Arkusz1'!$B$2:$C$3</c:f>
              <c:strCache>
                <c:ptCount val="2"/>
                <c:pt idx="0">
                  <c:v>ilość</c:v>
                </c:pt>
                <c:pt idx="1">
                  <c:v>Wskażnik %</c:v>
                </c:pt>
              </c:strCache>
              <c:extLst/>
            </c:strRef>
          </c:cat>
          <c:val>
            <c:numRef>
              <c:f>'[Wykres w programie Microsoft Word]Arkusz1'!$B$7:$C$7</c:f>
              <c:numCache>
                <c:formatCode>0.0%</c:formatCode>
                <c:ptCount val="2"/>
                <c:pt idx="0" formatCode="General">
                  <c:v>2</c:v>
                </c:pt>
                <c:pt idx="1">
                  <c:v>8.6999999999999994E-2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5668-4A34-847E-5C0B100273D5}"/>
            </c:ext>
          </c:extLst>
        </c:ser>
        <c:ser>
          <c:idx val="4"/>
          <c:order val="4"/>
          <c:tx>
            <c:strRef>
              <c:f>'[Wykres w programie Microsoft Word]Arkusz1'!$A$8</c:f>
              <c:strCache>
                <c:ptCount val="1"/>
                <c:pt idx="0">
                  <c:v>ogrzewanie piecowe</c:v>
                </c:pt>
              </c:strCache>
            </c:strRef>
          </c:tx>
          <c:spPr>
            <a:noFill/>
            <a:ln w="25400" cap="flat" cmpd="sng" algn="ctr">
              <a:solidFill>
                <a:schemeClr val="accent5">
                  <a:lumMod val="60000"/>
                </a:schemeClr>
              </a:solidFill>
              <a:miter lim="800000"/>
            </a:ln>
            <a:effectLst/>
          </c:spPr>
          <c:invertIfNegative val="0"/>
          <c:dLbls>
            <c:dLbl>
              <c:idx val="0"/>
              <c:layout>
                <c:manualLayout>
                  <c:x val="4.3670150987224158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5668-4A34-847E-5C0B100273D5}"/>
                </c:ext>
              </c:extLst>
            </c:dLbl>
            <c:dLbl>
              <c:idx val="1"/>
              <c:layout>
                <c:manualLayout>
                  <c:x val="1.2547212086289834E-4"/>
                  <c:y val="-7.407321837393450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5668-4A34-847E-5C0B100273D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'[Wykres w programie Microsoft Word]Arkusz1'!$B$2:$C$3</c:f>
              <c:strCache>
                <c:ptCount val="2"/>
                <c:pt idx="0">
                  <c:v>ilość</c:v>
                </c:pt>
                <c:pt idx="1">
                  <c:v>Wskażnik %</c:v>
                </c:pt>
              </c:strCache>
              <c:extLst/>
            </c:strRef>
          </c:cat>
          <c:val>
            <c:numRef>
              <c:f>'[Wykres w programie Microsoft Word]Arkusz1'!$B$8:$C$8</c:f>
              <c:numCache>
                <c:formatCode>0.0%</c:formatCode>
                <c:ptCount val="2"/>
                <c:pt idx="0" formatCode="General">
                  <c:v>16</c:v>
                </c:pt>
                <c:pt idx="1">
                  <c:v>0.69599999999999995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668-4A34-847E-5C0B100273D5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27"/>
        <c:overlap val="-48"/>
        <c:axId val="987829296"/>
        <c:axId val="987832560"/>
      </c:barChart>
      <c:catAx>
        <c:axId val="9878292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987832560"/>
        <c:crosses val="autoZero"/>
        <c:auto val="1"/>
        <c:lblAlgn val="ctr"/>
        <c:lblOffset val="100"/>
        <c:noMultiLvlLbl val="0"/>
      </c:catAx>
      <c:valAx>
        <c:axId val="987832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987829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pl-PL" sz="1050" b="1"/>
              <a:t>Wielkość zasobu mieszkaniowego- prognoza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5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pozyskanie lokali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Arkusz1!$A$2:$A$6</c:f>
              <c:numCache>
                <c:formatCode>General</c:formatCode>
                <c:ptCount val="5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26-4CB4-B8D4-0E79BB71292B}"/>
            </c:ext>
          </c:extLst>
        </c:ser>
        <c:ser>
          <c:idx val="1"/>
          <c:order val="1"/>
          <c:tx>
            <c:strRef>
              <c:f>Arkusz1!$B$1</c:f>
              <c:strCache>
                <c:ptCount val="1"/>
                <c:pt idx="0">
                  <c:v>liczba lokali</c:v>
                </c:pt>
              </c:strCache>
            </c:strRef>
          </c:tx>
          <c:spPr>
            <a:noFill/>
            <a:ln w="25400" cap="flat" cmpd="sng" algn="ctr">
              <a:solidFill>
                <a:schemeClr val="accent5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Arkusz1!$B$2:$B$6</c:f>
              <c:numCache>
                <c:formatCode>General</c:formatCode>
                <c:ptCount val="5"/>
                <c:pt idx="0">
                  <c:v>24</c:v>
                </c:pt>
                <c:pt idx="1">
                  <c:v>24</c:v>
                </c:pt>
                <c:pt idx="2">
                  <c:v>24</c:v>
                </c:pt>
                <c:pt idx="3">
                  <c:v>24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026-4CB4-B8D4-0E79BB71292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35"/>
        <c:axId val="987817872"/>
        <c:axId val="1055441888"/>
      </c:barChart>
      <c:catAx>
        <c:axId val="987817872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055441888"/>
        <c:crosses val="autoZero"/>
        <c:auto val="1"/>
        <c:lblAlgn val="ctr"/>
        <c:lblOffset val="100"/>
        <c:noMultiLvlLbl val="0"/>
      </c:catAx>
      <c:valAx>
        <c:axId val="105544188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9878178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pl-PL" sz="1050" b="1">
                <a:latin typeface="Arial" panose="020B0604020202020204" pitchFamily="34" charset="0"/>
                <a:cs typeface="Arial" panose="020B0604020202020204" pitchFamily="34" charset="0"/>
              </a:rPr>
              <a:t>Prognozowana wysokość dochodów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lata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Arkusz1!$A$2:$A$6</c:f>
              <c:numCache>
                <c:formatCode>General</c:formatCode>
                <c:ptCount val="5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49-413F-83D0-AD9B025EFB6C}"/>
            </c:ext>
          </c:extLst>
        </c:ser>
        <c:ser>
          <c:idx val="1"/>
          <c:order val="1"/>
          <c:tx>
            <c:strRef>
              <c:f>Arkusz1!$B$1</c:f>
              <c:strCache>
                <c:ptCount val="1"/>
                <c:pt idx="0">
                  <c:v>prognozowany dochód</c:v>
                </c:pt>
              </c:strCache>
            </c:strRef>
          </c:tx>
          <c:spPr>
            <a:noFill/>
            <a:ln w="25400" cap="flat" cmpd="sng" algn="ctr">
              <a:solidFill>
                <a:schemeClr val="accent5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Arkusz1!$B$2:$B$6</c:f>
              <c:numCache>
                <c:formatCode>General</c:formatCode>
                <c:ptCount val="5"/>
                <c:pt idx="0">
                  <c:v>33000</c:v>
                </c:pt>
                <c:pt idx="1">
                  <c:v>34000</c:v>
                </c:pt>
                <c:pt idx="2">
                  <c:v>35000</c:v>
                </c:pt>
                <c:pt idx="3">
                  <c:v>36000</c:v>
                </c:pt>
                <c:pt idx="4">
                  <c:v>37000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49-413F-83D0-AD9B025EFB6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35"/>
        <c:axId val="1055435904"/>
        <c:axId val="1055433184"/>
      </c:barChart>
      <c:catAx>
        <c:axId val="105543590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055433184"/>
        <c:crosses val="autoZero"/>
        <c:auto val="1"/>
        <c:lblAlgn val="ctr"/>
        <c:lblOffset val="100"/>
        <c:noMultiLvlLbl val="0"/>
      </c:catAx>
      <c:valAx>
        <c:axId val="10554331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055435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0" i="0" u="none" strike="noStrike" kern="1200" cap="none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 sz="1050" b="1">
                <a:latin typeface="Arial" panose="020B0604020202020204" pitchFamily="34" charset="0"/>
                <a:cs typeface="Arial" panose="020B0604020202020204" pitchFamily="34" charset="0"/>
              </a:rPr>
              <a:t>Prognozowana wysokość wydatków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0" i="0" u="none" strike="noStrike" kern="1200" cap="none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Arkusz1!$A$1</c:f>
              <c:strCache>
                <c:ptCount val="1"/>
                <c:pt idx="0">
                  <c:v>lata</c:v>
                </c:pt>
              </c:strCache>
            </c:strRef>
          </c:tx>
          <c:spPr>
            <a:noFill/>
            <a:ln w="25400" cap="flat" cmpd="sng" algn="ctr">
              <a:solidFill>
                <a:schemeClr val="accent6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Arkusz1!$A$2:$A$6</c:f>
              <c:numCache>
                <c:formatCode>General</c:formatCode>
                <c:ptCount val="5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41-4EA7-8BFB-CF47D88DA906}"/>
            </c:ext>
          </c:extLst>
        </c:ser>
        <c:ser>
          <c:idx val="1"/>
          <c:order val="1"/>
          <c:tx>
            <c:strRef>
              <c:f>Arkusz1!$B$1</c:f>
              <c:strCache>
                <c:ptCount val="1"/>
                <c:pt idx="0">
                  <c:v>prognozowane wydatki</c:v>
                </c:pt>
              </c:strCache>
            </c:strRef>
          </c:tx>
          <c:spPr>
            <a:noFill/>
            <a:ln w="25400" cap="flat" cmpd="sng" algn="ctr">
              <a:solidFill>
                <a:schemeClr val="accent5"/>
              </a:solidFill>
              <a:miter lim="800000"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Arkusz1!$B$2:$B$6</c:f>
              <c:numCache>
                <c:formatCode>General</c:formatCode>
                <c:ptCount val="5"/>
                <c:pt idx="0">
                  <c:v>25000</c:v>
                </c:pt>
                <c:pt idx="1">
                  <c:v>25000</c:v>
                </c:pt>
                <c:pt idx="2">
                  <c:v>25000</c:v>
                </c:pt>
                <c:pt idx="3">
                  <c:v>25000</c:v>
                </c:pt>
                <c:pt idx="4">
                  <c:v>25000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41-4EA7-8BFB-CF47D88DA90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35"/>
        <c:axId val="1055442976"/>
        <c:axId val="1055441344"/>
      </c:barChart>
      <c:catAx>
        <c:axId val="105544297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055441344"/>
        <c:crosses val="autoZero"/>
        <c:auto val="1"/>
        <c:lblAlgn val="ctr"/>
        <c:lblOffset val="100"/>
        <c:noMultiLvlLbl val="0"/>
      </c:catAx>
      <c:valAx>
        <c:axId val="10554413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l-PL"/>
          </a:p>
        </c:txPr>
        <c:crossAx val="10554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1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35000"/>
          <a:lumOff val="65000"/>
        </a:schemeClr>
      </a:solidFill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/>
    <cs:fontRef idx="minor">
      <a:schemeClr val="dk1"/>
    </cs:fontRef>
    <cs:spPr>
      <a:noFill/>
      <a:ln w="25400" cap="flat" cmpd="sng" algn="ctr">
        <a:solidFill>
          <a:schemeClr val="phClr"/>
        </a:solidFill>
        <a:miter lim="800000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flat" cmpd="sng" algn="ctr">
        <a:solidFill>
          <a:schemeClr val="phClr"/>
        </a:solidFill>
        <a:miter lim="800000"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1"/>
    <cs:effectRef idx="0"/>
    <cs:fontRef idx="minor">
      <a:schemeClr val="tx1"/>
    </cs:fontRef>
    <cs:spPr>
      <a:ln w="9525">
        <a:solidFill>
          <a:schemeClr val="phClr"/>
        </a:solidFill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4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35000"/>
          <a:lumOff val="65000"/>
        </a:schemeClr>
      </a:solidFill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/>
    <cs:fontRef idx="minor">
      <a:schemeClr val="dk1"/>
    </cs:fontRef>
    <cs:spPr>
      <a:noFill/>
      <a:ln w="25400" cap="flat" cmpd="sng" algn="ctr">
        <a:solidFill>
          <a:schemeClr val="phClr"/>
        </a:solidFill>
        <a:miter lim="800000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flat" cmpd="sng" algn="ctr">
        <a:solidFill>
          <a:schemeClr val="phClr"/>
        </a:solidFill>
        <a:miter lim="800000"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1"/>
    <cs:effectRef idx="0"/>
    <cs:fontRef idx="minor">
      <a:schemeClr val="tx1"/>
    </cs:fontRef>
    <cs:spPr>
      <a:ln w="9525">
        <a:solidFill>
          <a:schemeClr val="phClr"/>
        </a:solidFill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11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35000"/>
          <a:lumOff val="65000"/>
        </a:schemeClr>
      </a:solidFill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/>
    <cs:fontRef idx="minor">
      <a:schemeClr val="dk1"/>
    </cs:fontRef>
    <cs:spPr>
      <a:noFill/>
      <a:ln w="25400" cap="flat" cmpd="sng" algn="ctr">
        <a:solidFill>
          <a:schemeClr val="phClr"/>
        </a:solidFill>
        <a:miter lim="800000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flat" cmpd="sng" algn="ctr">
        <a:solidFill>
          <a:schemeClr val="phClr"/>
        </a:solidFill>
        <a:miter lim="800000"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1"/>
    <cs:effectRef idx="0"/>
    <cs:fontRef idx="minor">
      <a:schemeClr val="tx1"/>
    </cs:fontRef>
    <cs:spPr>
      <a:ln w="9525">
        <a:solidFill>
          <a:schemeClr val="phClr"/>
        </a:solidFill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11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35000"/>
          <a:lumOff val="65000"/>
        </a:schemeClr>
      </a:solidFill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/>
    <cs:fontRef idx="minor">
      <a:schemeClr val="dk1"/>
    </cs:fontRef>
    <cs:spPr>
      <a:noFill/>
      <a:ln w="25400" cap="flat" cmpd="sng" algn="ctr">
        <a:solidFill>
          <a:schemeClr val="phClr"/>
        </a:solidFill>
        <a:miter lim="800000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flat" cmpd="sng" algn="ctr">
        <a:solidFill>
          <a:schemeClr val="phClr"/>
        </a:solidFill>
        <a:miter lim="800000"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1"/>
    <cs:effectRef idx="0"/>
    <cs:fontRef idx="minor">
      <a:schemeClr val="tx1"/>
    </cs:fontRef>
    <cs:spPr>
      <a:ln w="9525">
        <a:solidFill>
          <a:schemeClr val="phClr"/>
        </a:solidFill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1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35000"/>
          <a:lumOff val="65000"/>
        </a:schemeClr>
      </a:solidFill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/>
    <cs:fontRef idx="minor">
      <a:schemeClr val="dk1"/>
    </cs:fontRef>
    <cs:spPr>
      <a:noFill/>
      <a:ln w="25400" cap="flat" cmpd="sng" algn="ctr">
        <a:solidFill>
          <a:schemeClr val="phClr"/>
        </a:solidFill>
        <a:miter lim="800000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flat" cmpd="sng" algn="ctr">
        <a:solidFill>
          <a:schemeClr val="phClr"/>
        </a:solidFill>
        <a:miter lim="800000"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1"/>
    <cs:effectRef idx="0"/>
    <cs:fontRef idx="minor">
      <a:schemeClr val="tx1"/>
    </cs:fontRef>
    <cs:spPr>
      <a:ln w="9525">
        <a:solidFill>
          <a:schemeClr val="phClr"/>
        </a:solidFill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A355-DEE4-4A17-BB87-3C9D096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3108</Words>
  <Characters>18649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Zarzycka</dc:creator>
  <cp:keywords/>
  <dc:description/>
  <cp:lastModifiedBy>Monika Konczewska</cp:lastModifiedBy>
  <cp:revision>4</cp:revision>
  <cp:lastPrinted>2021-12-02T11:04:00Z</cp:lastPrinted>
  <dcterms:created xsi:type="dcterms:W3CDTF">2022-01-03T14:57:00Z</dcterms:created>
  <dcterms:modified xsi:type="dcterms:W3CDTF">2022-01-03T15:01:00Z</dcterms:modified>
</cp:coreProperties>
</file>